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3466" w:rsidRDefault="00AE3466" w:rsidP="00AE3466">
      <w:pPr>
        <w:spacing w:after="120"/>
        <w:jc w:val="center"/>
        <w:rPr>
          <w:b/>
          <w:sz w:val="28"/>
        </w:rPr>
      </w:pPr>
    </w:p>
    <w:p w:rsidR="00AE3466" w:rsidRPr="00AE3466" w:rsidRDefault="0099311F" w:rsidP="00AE3466">
      <w:pPr>
        <w:spacing w:after="120"/>
        <w:jc w:val="center"/>
        <w:rPr>
          <w:b/>
          <w:sz w:val="36"/>
          <w:szCs w:val="36"/>
        </w:rPr>
      </w:pPr>
      <w:r w:rsidRPr="00AE3466">
        <w:rPr>
          <w:b/>
          <w:sz w:val="36"/>
          <w:szCs w:val="36"/>
        </w:rPr>
        <w:t>Zpráva o postupu realizace projektu</w:t>
      </w:r>
    </w:p>
    <w:p w:rsidR="0099311F" w:rsidRPr="00AE3466" w:rsidRDefault="0099311F" w:rsidP="00AE3466">
      <w:pPr>
        <w:spacing w:after="120"/>
        <w:jc w:val="center"/>
        <w:rPr>
          <w:b/>
          <w:sz w:val="36"/>
          <w:szCs w:val="36"/>
        </w:rPr>
      </w:pPr>
      <w:r w:rsidRPr="00AE3466">
        <w:rPr>
          <w:b/>
          <w:sz w:val="36"/>
          <w:szCs w:val="36"/>
        </w:rPr>
        <w:t xml:space="preserve"> „Podpora meziobecní spolupráce“</w:t>
      </w:r>
    </w:p>
    <w:p w:rsidR="00AE3466" w:rsidRDefault="00AE3466" w:rsidP="00AE3466">
      <w:pPr>
        <w:spacing w:after="120"/>
        <w:jc w:val="center"/>
        <w:rPr>
          <w:b/>
          <w:sz w:val="28"/>
        </w:rPr>
      </w:pPr>
      <w:r>
        <w:rPr>
          <w:b/>
          <w:sz w:val="28"/>
        </w:rPr>
        <w:t>na území SO ORP Benešov</w:t>
      </w:r>
    </w:p>
    <w:p w:rsidR="00AE3466" w:rsidRDefault="00AE3466" w:rsidP="00AE3466">
      <w:pPr>
        <w:spacing w:after="120"/>
        <w:jc w:val="center"/>
        <w:rPr>
          <w:b/>
          <w:sz w:val="28"/>
        </w:rPr>
      </w:pPr>
    </w:p>
    <w:p w:rsidR="00AE3466" w:rsidRDefault="0099311F" w:rsidP="00AE3466">
      <w:pPr>
        <w:spacing w:after="120"/>
        <w:jc w:val="center"/>
        <w:rPr>
          <w:b/>
          <w:sz w:val="28"/>
        </w:rPr>
      </w:pPr>
      <w:r>
        <w:rPr>
          <w:b/>
          <w:sz w:val="28"/>
        </w:rPr>
        <w:t>za období od 1. oficiálního setkání představitelů obcí</w:t>
      </w:r>
      <w:r w:rsidR="00AE3466">
        <w:rPr>
          <w:b/>
          <w:sz w:val="28"/>
        </w:rPr>
        <w:t xml:space="preserve"> 20. června 2014</w:t>
      </w:r>
      <w:r>
        <w:rPr>
          <w:b/>
          <w:sz w:val="28"/>
        </w:rPr>
        <w:t xml:space="preserve"> </w:t>
      </w:r>
    </w:p>
    <w:p w:rsidR="0099311F" w:rsidRDefault="0099311F" w:rsidP="00AE3466">
      <w:pPr>
        <w:spacing w:after="120"/>
        <w:jc w:val="center"/>
        <w:rPr>
          <w:b/>
          <w:sz w:val="28"/>
        </w:rPr>
      </w:pPr>
      <w:r>
        <w:rPr>
          <w:b/>
          <w:sz w:val="28"/>
        </w:rPr>
        <w:t>do 2</w:t>
      </w:r>
      <w:r w:rsidRPr="00637E6A">
        <w:rPr>
          <w:b/>
          <w:sz w:val="28"/>
        </w:rPr>
        <w:t>. oficiální</w:t>
      </w:r>
      <w:r>
        <w:rPr>
          <w:b/>
          <w:sz w:val="28"/>
        </w:rPr>
        <w:t>ho</w:t>
      </w:r>
      <w:r w:rsidRPr="00637E6A">
        <w:rPr>
          <w:b/>
          <w:sz w:val="28"/>
        </w:rPr>
        <w:t xml:space="preserve"> setkání představitelů obcí</w:t>
      </w:r>
      <w:r w:rsidR="00AE3466">
        <w:rPr>
          <w:b/>
          <w:sz w:val="28"/>
        </w:rPr>
        <w:t xml:space="preserve"> 21. dubna 2015</w:t>
      </w:r>
    </w:p>
    <w:p w:rsidR="0099311F" w:rsidRDefault="0099311F" w:rsidP="00C92756">
      <w:pPr>
        <w:spacing w:after="120"/>
        <w:jc w:val="both"/>
        <w:rPr>
          <w:b/>
          <w:sz w:val="28"/>
        </w:rPr>
      </w:pPr>
    </w:p>
    <w:p w:rsidR="0099311F" w:rsidRDefault="0099311F" w:rsidP="00C92756">
      <w:pPr>
        <w:spacing w:after="120"/>
        <w:jc w:val="both"/>
        <w:rPr>
          <w:b/>
          <w:sz w:val="24"/>
          <w:szCs w:val="24"/>
        </w:rPr>
      </w:pPr>
      <w:r>
        <w:rPr>
          <w:b/>
          <w:sz w:val="24"/>
          <w:szCs w:val="24"/>
        </w:rPr>
        <w:t>OBSAH</w:t>
      </w:r>
    </w:p>
    <w:p w:rsidR="0099311F" w:rsidRPr="00132F3C" w:rsidRDefault="0099311F" w:rsidP="00C92756">
      <w:pPr>
        <w:spacing w:after="120"/>
        <w:jc w:val="both"/>
        <w:rPr>
          <w:b/>
          <w:sz w:val="24"/>
        </w:rPr>
      </w:pPr>
      <w:r w:rsidRPr="00132F3C">
        <w:rPr>
          <w:b/>
          <w:sz w:val="24"/>
        </w:rPr>
        <w:t xml:space="preserve">1. </w:t>
      </w:r>
      <w:r>
        <w:rPr>
          <w:b/>
          <w:sz w:val="24"/>
        </w:rPr>
        <w:tab/>
      </w:r>
      <w:r w:rsidRPr="00132F3C">
        <w:rPr>
          <w:b/>
          <w:sz w:val="24"/>
        </w:rPr>
        <w:t>Úvod</w:t>
      </w:r>
    </w:p>
    <w:p w:rsidR="0099311F" w:rsidRPr="0020100A" w:rsidRDefault="0099311F" w:rsidP="00C92756">
      <w:pPr>
        <w:spacing w:after="120"/>
        <w:rPr>
          <w:b/>
          <w:i/>
        </w:rPr>
      </w:pPr>
      <w:r w:rsidRPr="00132F3C">
        <w:rPr>
          <w:b/>
          <w:sz w:val="24"/>
        </w:rPr>
        <w:t xml:space="preserve">2. </w:t>
      </w:r>
      <w:r>
        <w:rPr>
          <w:b/>
          <w:sz w:val="24"/>
        </w:rPr>
        <w:tab/>
        <w:t>Z</w:t>
      </w:r>
      <w:r w:rsidRPr="00132F3C">
        <w:rPr>
          <w:b/>
          <w:sz w:val="24"/>
        </w:rPr>
        <w:t xml:space="preserve">hodnocení průběhu dosavadních prací na projektu v území ORP </w:t>
      </w:r>
      <w:r w:rsidRPr="00132F3C">
        <w:br/>
      </w:r>
      <w:r w:rsidRPr="0020100A">
        <w:rPr>
          <w:b/>
          <w:i/>
        </w:rPr>
        <w:t>2.</w:t>
      </w:r>
      <w:r>
        <w:rPr>
          <w:b/>
          <w:i/>
        </w:rPr>
        <w:t>1</w:t>
      </w:r>
      <w:r w:rsidRPr="0020100A">
        <w:rPr>
          <w:b/>
          <w:i/>
        </w:rPr>
        <w:t xml:space="preserve"> </w:t>
      </w:r>
      <w:r>
        <w:rPr>
          <w:b/>
          <w:i/>
        </w:rPr>
        <w:tab/>
      </w:r>
      <w:r w:rsidRPr="0020100A">
        <w:rPr>
          <w:b/>
          <w:i/>
        </w:rPr>
        <w:t>Zhodnocení průběhu komunikace v území</w:t>
      </w:r>
    </w:p>
    <w:p w:rsidR="0099311F" w:rsidRPr="0020100A" w:rsidRDefault="0099311F" w:rsidP="00C92756">
      <w:pPr>
        <w:spacing w:after="120"/>
        <w:ind w:left="705" w:hanging="705"/>
        <w:rPr>
          <w:b/>
          <w:i/>
        </w:rPr>
      </w:pPr>
      <w:r w:rsidRPr="0020100A">
        <w:rPr>
          <w:b/>
          <w:i/>
        </w:rPr>
        <w:t>2.</w:t>
      </w:r>
      <w:r>
        <w:rPr>
          <w:b/>
          <w:i/>
        </w:rPr>
        <w:t>2</w:t>
      </w:r>
      <w:r w:rsidRPr="0020100A">
        <w:rPr>
          <w:b/>
          <w:i/>
        </w:rPr>
        <w:t xml:space="preserve"> </w:t>
      </w:r>
      <w:r w:rsidRPr="0020100A">
        <w:rPr>
          <w:b/>
          <w:i/>
        </w:rPr>
        <w:tab/>
        <w:t>Zhodnocení dosavadního průběhu projektu z pohledu motivujících starostů</w:t>
      </w:r>
      <w:r>
        <w:rPr>
          <w:b/>
          <w:i/>
        </w:rPr>
        <w:t xml:space="preserve"> (tento bod zpracují motivující starostové)</w:t>
      </w:r>
    </w:p>
    <w:p w:rsidR="0099311F" w:rsidRPr="0020100A" w:rsidRDefault="0099311F" w:rsidP="00C92756">
      <w:pPr>
        <w:spacing w:after="120"/>
        <w:rPr>
          <w:b/>
          <w:i/>
        </w:rPr>
      </w:pPr>
      <w:r w:rsidRPr="0020100A">
        <w:rPr>
          <w:b/>
          <w:i/>
        </w:rPr>
        <w:t>2.</w:t>
      </w:r>
      <w:r>
        <w:rPr>
          <w:b/>
          <w:i/>
        </w:rPr>
        <w:t>3</w:t>
      </w:r>
      <w:r w:rsidRPr="0020100A">
        <w:rPr>
          <w:b/>
          <w:i/>
        </w:rPr>
        <w:t xml:space="preserve"> </w:t>
      </w:r>
      <w:r w:rsidRPr="0020100A">
        <w:rPr>
          <w:b/>
          <w:i/>
        </w:rPr>
        <w:tab/>
      </w:r>
      <w:r>
        <w:rPr>
          <w:b/>
          <w:i/>
        </w:rPr>
        <w:t>Z</w:t>
      </w:r>
      <w:r w:rsidRPr="0020100A">
        <w:rPr>
          <w:b/>
          <w:i/>
        </w:rPr>
        <w:t xml:space="preserve">hodnocení průběhu prací na </w:t>
      </w:r>
      <w:r>
        <w:rPr>
          <w:b/>
          <w:i/>
        </w:rPr>
        <w:t>návrhové</w:t>
      </w:r>
      <w:r w:rsidRPr="0020100A">
        <w:rPr>
          <w:b/>
          <w:i/>
        </w:rPr>
        <w:t xml:space="preserve"> části souhrnného dokumentu za území ORP</w:t>
      </w:r>
    </w:p>
    <w:p w:rsidR="0099311F" w:rsidRDefault="0099311F" w:rsidP="00C92756">
      <w:pPr>
        <w:spacing w:after="120"/>
        <w:ind w:left="705" w:hanging="705"/>
        <w:rPr>
          <w:b/>
          <w:sz w:val="24"/>
        </w:rPr>
      </w:pPr>
      <w:r>
        <w:rPr>
          <w:b/>
          <w:sz w:val="24"/>
        </w:rPr>
        <w:t xml:space="preserve">3. </w:t>
      </w:r>
      <w:r>
        <w:rPr>
          <w:b/>
          <w:sz w:val="24"/>
        </w:rPr>
        <w:tab/>
      </w:r>
      <w:r w:rsidRPr="00132F3C">
        <w:rPr>
          <w:b/>
          <w:sz w:val="24"/>
        </w:rPr>
        <w:t xml:space="preserve">Výsledky </w:t>
      </w:r>
      <w:r>
        <w:rPr>
          <w:b/>
          <w:sz w:val="24"/>
        </w:rPr>
        <w:t>zpracování návrhových částí v oblasti odpadového hospodářství, sociálních služeb, školství, volitelného tématu</w:t>
      </w:r>
    </w:p>
    <w:p w:rsidR="0099311F" w:rsidRPr="009369E1" w:rsidRDefault="0099311F" w:rsidP="00C92756">
      <w:pPr>
        <w:spacing w:after="120"/>
        <w:ind w:left="705" w:hanging="705"/>
        <w:rPr>
          <w:b/>
          <w:sz w:val="24"/>
        </w:rPr>
      </w:pPr>
      <w:r>
        <w:rPr>
          <w:b/>
          <w:sz w:val="24"/>
        </w:rPr>
        <w:t xml:space="preserve">4. </w:t>
      </w:r>
      <w:r>
        <w:rPr>
          <w:b/>
          <w:sz w:val="24"/>
        </w:rPr>
        <w:tab/>
      </w:r>
      <w:r>
        <w:rPr>
          <w:b/>
          <w:sz w:val="24"/>
        </w:rPr>
        <w:tab/>
        <w:t>Zhodnocení aktivit v oblasti průřezového tématu „Admin</w:t>
      </w:r>
      <w:r w:rsidR="009369E1">
        <w:rPr>
          <w:b/>
          <w:sz w:val="24"/>
        </w:rPr>
        <w:t>istrativní podpora malých obcí“</w:t>
      </w:r>
    </w:p>
    <w:p w:rsidR="0099311F" w:rsidRPr="009369E1" w:rsidRDefault="0099311F" w:rsidP="00C92756">
      <w:pPr>
        <w:spacing w:after="120"/>
        <w:ind w:left="705" w:hanging="705"/>
        <w:rPr>
          <w:b/>
          <w:sz w:val="24"/>
        </w:rPr>
      </w:pPr>
      <w:r>
        <w:rPr>
          <w:b/>
          <w:sz w:val="24"/>
        </w:rPr>
        <w:t xml:space="preserve">5. </w:t>
      </w:r>
      <w:r>
        <w:rPr>
          <w:b/>
          <w:sz w:val="24"/>
        </w:rPr>
        <w:tab/>
        <w:t>Prezentace připravených právních dokumentů (stanovy DSO)</w:t>
      </w:r>
    </w:p>
    <w:p w:rsidR="0099311F" w:rsidRPr="00132F3C" w:rsidRDefault="0099311F" w:rsidP="00C92756">
      <w:pPr>
        <w:spacing w:after="120"/>
        <w:ind w:left="705" w:hanging="705"/>
        <w:rPr>
          <w:b/>
          <w:sz w:val="24"/>
        </w:rPr>
      </w:pPr>
      <w:r>
        <w:rPr>
          <w:b/>
          <w:sz w:val="24"/>
        </w:rPr>
        <w:t xml:space="preserve">6. </w:t>
      </w:r>
      <w:r>
        <w:rPr>
          <w:b/>
          <w:sz w:val="24"/>
        </w:rPr>
        <w:tab/>
        <w:t>Návrh prohlášení o vzájemné spolupráci obcí</w:t>
      </w:r>
    </w:p>
    <w:p w:rsidR="0099311F" w:rsidRDefault="0099311F" w:rsidP="00C92756">
      <w:pPr>
        <w:spacing w:after="120"/>
        <w:ind w:left="705" w:hanging="705"/>
        <w:rPr>
          <w:b/>
          <w:sz w:val="24"/>
        </w:rPr>
      </w:pPr>
      <w:r>
        <w:rPr>
          <w:b/>
          <w:sz w:val="24"/>
        </w:rPr>
        <w:t>7</w:t>
      </w:r>
      <w:r w:rsidRPr="006F175F">
        <w:rPr>
          <w:b/>
          <w:sz w:val="24"/>
        </w:rPr>
        <w:t>.</w:t>
      </w:r>
      <w:r w:rsidRPr="006F175F">
        <w:rPr>
          <w:b/>
          <w:sz w:val="24"/>
        </w:rPr>
        <w:tab/>
        <w:t>Závěr</w:t>
      </w:r>
    </w:p>
    <w:p w:rsidR="00346851" w:rsidRPr="00132F3C" w:rsidRDefault="00346851" w:rsidP="00C92756">
      <w:pPr>
        <w:spacing w:after="120"/>
        <w:jc w:val="both"/>
        <w:rPr>
          <w:b/>
          <w:sz w:val="24"/>
        </w:rPr>
      </w:pPr>
      <w:r>
        <w:rPr>
          <w:b/>
          <w:sz w:val="24"/>
        </w:rPr>
        <w:br w:type="page"/>
      </w:r>
      <w:r w:rsidRPr="00132F3C">
        <w:rPr>
          <w:b/>
          <w:sz w:val="24"/>
        </w:rPr>
        <w:lastRenderedPageBreak/>
        <w:t xml:space="preserve">1. </w:t>
      </w:r>
      <w:r>
        <w:rPr>
          <w:b/>
          <w:sz w:val="24"/>
        </w:rPr>
        <w:tab/>
      </w:r>
      <w:r w:rsidRPr="00132F3C">
        <w:rPr>
          <w:b/>
          <w:sz w:val="24"/>
        </w:rPr>
        <w:t>Úvod</w:t>
      </w:r>
    </w:p>
    <w:p w:rsidR="00346851" w:rsidRPr="00104130" w:rsidRDefault="00A12BCD" w:rsidP="00C92756">
      <w:pPr>
        <w:spacing w:after="120"/>
        <w:ind w:left="705" w:hanging="705"/>
        <w:rPr>
          <w:b/>
          <w:iCs/>
        </w:rPr>
      </w:pPr>
      <w:r>
        <w:rPr>
          <w:noProof/>
          <w:lang w:eastAsia="cs-CZ"/>
        </w:rPr>
        <w:drawing>
          <wp:inline distT="0" distB="0" distL="0" distR="0">
            <wp:extent cx="5562600" cy="5577840"/>
            <wp:effectExtent l="0" t="0" r="0" b="3810"/>
            <wp:docPr id="7"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62600" cy="5577840"/>
                    </a:xfrm>
                    <a:prstGeom prst="rect">
                      <a:avLst/>
                    </a:prstGeom>
                    <a:noFill/>
                    <a:ln>
                      <a:noFill/>
                    </a:ln>
                  </pic:spPr>
                </pic:pic>
              </a:graphicData>
            </a:graphic>
          </wp:inline>
        </w:drawing>
      </w:r>
    </w:p>
    <w:tbl>
      <w:tblPr>
        <w:tblW w:w="5000" w:type="pct"/>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61"/>
        <w:gridCol w:w="6651"/>
      </w:tblGrid>
      <w:tr w:rsidR="00346851" w:rsidRPr="00837643" w:rsidTr="0002623E">
        <w:trPr>
          <w:trHeight w:val="300"/>
        </w:trPr>
        <w:tc>
          <w:tcPr>
            <w:tcW w:w="2561" w:type="dxa"/>
            <w:vMerge w:val="restart"/>
            <w:shd w:val="clear" w:color="auto" w:fill="auto"/>
            <w:vAlign w:val="center"/>
            <w:hideMark/>
          </w:tcPr>
          <w:p w:rsidR="00346851" w:rsidRPr="00837643" w:rsidRDefault="00346851" w:rsidP="00D90FC9">
            <w:pPr>
              <w:spacing w:after="0"/>
            </w:pPr>
            <w:r w:rsidRPr="00837643">
              <w:t>Řešené území</w:t>
            </w:r>
          </w:p>
        </w:tc>
        <w:tc>
          <w:tcPr>
            <w:tcW w:w="6651" w:type="dxa"/>
            <w:shd w:val="clear" w:color="auto" w:fill="auto"/>
            <w:vAlign w:val="center"/>
            <w:hideMark/>
          </w:tcPr>
          <w:p w:rsidR="00346851" w:rsidRPr="00837643" w:rsidRDefault="00346851" w:rsidP="00D90FC9">
            <w:pPr>
              <w:spacing w:after="0"/>
            </w:pPr>
            <w:r w:rsidRPr="00837643">
              <w:t>Správní obvod ORP Benešov</w:t>
            </w:r>
          </w:p>
        </w:tc>
      </w:tr>
      <w:tr w:rsidR="00346851" w:rsidRPr="00837643" w:rsidTr="0002623E">
        <w:trPr>
          <w:trHeight w:val="300"/>
        </w:trPr>
        <w:tc>
          <w:tcPr>
            <w:tcW w:w="2561" w:type="dxa"/>
            <w:vMerge/>
            <w:shd w:val="clear" w:color="auto" w:fill="auto"/>
            <w:vAlign w:val="center"/>
            <w:hideMark/>
          </w:tcPr>
          <w:p w:rsidR="00346851" w:rsidRPr="00837643" w:rsidRDefault="00346851" w:rsidP="00D90FC9">
            <w:pPr>
              <w:spacing w:after="0"/>
            </w:pPr>
          </w:p>
        </w:tc>
        <w:tc>
          <w:tcPr>
            <w:tcW w:w="6651" w:type="dxa"/>
            <w:shd w:val="clear" w:color="auto" w:fill="auto"/>
            <w:vAlign w:val="center"/>
            <w:hideMark/>
          </w:tcPr>
          <w:p w:rsidR="00346851" w:rsidRPr="00837643" w:rsidRDefault="00346851" w:rsidP="00D90FC9">
            <w:pPr>
              <w:spacing w:after="0"/>
            </w:pPr>
            <w:r w:rsidRPr="00837643">
              <w:t xml:space="preserve">Počet obyvatel správního obvodu: </w:t>
            </w:r>
            <w:r w:rsidRPr="007014FF">
              <w:t>58</w:t>
            </w:r>
            <w:r>
              <w:t xml:space="preserve"> </w:t>
            </w:r>
            <w:r w:rsidRPr="007014FF">
              <w:t>165</w:t>
            </w:r>
            <w:r>
              <w:t xml:space="preserve"> k 1. 1. 2014</w:t>
            </w:r>
          </w:p>
        </w:tc>
      </w:tr>
      <w:tr w:rsidR="00346851" w:rsidRPr="00837643" w:rsidTr="0002623E">
        <w:trPr>
          <w:trHeight w:val="300"/>
        </w:trPr>
        <w:tc>
          <w:tcPr>
            <w:tcW w:w="2561" w:type="dxa"/>
            <w:vMerge/>
            <w:shd w:val="clear" w:color="auto" w:fill="auto"/>
            <w:vAlign w:val="center"/>
            <w:hideMark/>
          </w:tcPr>
          <w:p w:rsidR="00346851" w:rsidRPr="00837643" w:rsidRDefault="00346851" w:rsidP="00D90FC9">
            <w:pPr>
              <w:spacing w:after="0"/>
            </w:pPr>
          </w:p>
        </w:tc>
        <w:tc>
          <w:tcPr>
            <w:tcW w:w="6651" w:type="dxa"/>
            <w:shd w:val="clear" w:color="auto" w:fill="auto"/>
            <w:vAlign w:val="center"/>
            <w:hideMark/>
          </w:tcPr>
          <w:p w:rsidR="00346851" w:rsidRPr="00837643" w:rsidRDefault="00346851" w:rsidP="00D90FC9">
            <w:pPr>
              <w:spacing w:after="0"/>
            </w:pPr>
            <w:r w:rsidRPr="00837643">
              <w:t>Počet obcí ve správním obvodu: 51</w:t>
            </w:r>
          </w:p>
        </w:tc>
      </w:tr>
      <w:tr w:rsidR="00346851" w:rsidRPr="00837643" w:rsidTr="0002623E">
        <w:trPr>
          <w:trHeight w:val="300"/>
        </w:trPr>
        <w:tc>
          <w:tcPr>
            <w:tcW w:w="2561" w:type="dxa"/>
            <w:vMerge/>
            <w:shd w:val="clear" w:color="auto" w:fill="auto"/>
            <w:vAlign w:val="center"/>
            <w:hideMark/>
          </w:tcPr>
          <w:p w:rsidR="00346851" w:rsidRPr="00837643" w:rsidRDefault="00346851" w:rsidP="00D90FC9">
            <w:pPr>
              <w:spacing w:after="0"/>
            </w:pPr>
          </w:p>
        </w:tc>
        <w:tc>
          <w:tcPr>
            <w:tcW w:w="6651" w:type="dxa"/>
            <w:shd w:val="clear" w:color="auto" w:fill="auto"/>
            <w:vAlign w:val="center"/>
            <w:hideMark/>
          </w:tcPr>
          <w:p w:rsidR="00346851" w:rsidRPr="00837643" w:rsidRDefault="00346851" w:rsidP="00D90FC9">
            <w:pPr>
              <w:spacing w:after="0"/>
            </w:pPr>
            <w:r w:rsidRPr="00837643">
              <w:t>Rozloha správního obvodu: 69001 ha</w:t>
            </w:r>
          </w:p>
        </w:tc>
      </w:tr>
      <w:tr w:rsidR="00346851" w:rsidRPr="00837643" w:rsidTr="0002623E">
        <w:trPr>
          <w:trHeight w:val="300"/>
        </w:trPr>
        <w:tc>
          <w:tcPr>
            <w:tcW w:w="2561" w:type="dxa"/>
            <w:vMerge w:val="restart"/>
            <w:shd w:val="clear" w:color="auto" w:fill="auto"/>
            <w:vAlign w:val="center"/>
            <w:hideMark/>
          </w:tcPr>
          <w:p w:rsidR="00346851" w:rsidRPr="00837643" w:rsidRDefault="00346851" w:rsidP="00D90FC9">
            <w:pPr>
              <w:spacing w:after="0"/>
            </w:pPr>
            <w:r w:rsidRPr="00837643">
              <w:t>Názvy obcí správního obvodu</w:t>
            </w:r>
          </w:p>
        </w:tc>
        <w:tc>
          <w:tcPr>
            <w:tcW w:w="6651" w:type="dxa"/>
            <w:shd w:val="clear" w:color="auto" w:fill="auto"/>
            <w:vAlign w:val="center"/>
            <w:hideMark/>
          </w:tcPr>
          <w:p w:rsidR="00346851" w:rsidRPr="00837643" w:rsidRDefault="00346851" w:rsidP="00D90FC9">
            <w:pPr>
              <w:spacing w:after="0"/>
            </w:pPr>
            <w:r w:rsidRPr="00837643">
              <w:t>Města: Benešov, Bystřice, Neveklov, Sázava, Týnec nad Sázavou</w:t>
            </w:r>
          </w:p>
        </w:tc>
      </w:tr>
      <w:tr w:rsidR="00346851" w:rsidRPr="00837643" w:rsidTr="0002623E">
        <w:trPr>
          <w:trHeight w:val="300"/>
        </w:trPr>
        <w:tc>
          <w:tcPr>
            <w:tcW w:w="2561" w:type="dxa"/>
            <w:vMerge/>
            <w:shd w:val="clear" w:color="auto" w:fill="auto"/>
            <w:vAlign w:val="center"/>
            <w:hideMark/>
          </w:tcPr>
          <w:p w:rsidR="00346851" w:rsidRPr="00837643" w:rsidRDefault="00346851" w:rsidP="00D90FC9">
            <w:pPr>
              <w:spacing w:after="0"/>
            </w:pPr>
          </w:p>
        </w:tc>
        <w:tc>
          <w:tcPr>
            <w:tcW w:w="6651" w:type="dxa"/>
            <w:shd w:val="clear" w:color="auto" w:fill="auto"/>
            <w:vAlign w:val="center"/>
            <w:hideMark/>
          </w:tcPr>
          <w:p w:rsidR="00346851" w:rsidRPr="00837643" w:rsidRDefault="00346851" w:rsidP="00D90FC9">
            <w:pPr>
              <w:spacing w:after="0"/>
            </w:pPr>
            <w:r w:rsidRPr="00837643">
              <w:t>Městyse: Český Šternberk, Divišov, Maršovice, Netvořice</w:t>
            </w:r>
          </w:p>
        </w:tc>
      </w:tr>
      <w:tr w:rsidR="00346851" w:rsidRPr="00837643" w:rsidTr="0002623E">
        <w:trPr>
          <w:trHeight w:val="259"/>
        </w:trPr>
        <w:tc>
          <w:tcPr>
            <w:tcW w:w="2561" w:type="dxa"/>
            <w:vMerge/>
            <w:shd w:val="clear" w:color="auto" w:fill="auto"/>
            <w:vAlign w:val="center"/>
            <w:hideMark/>
          </w:tcPr>
          <w:p w:rsidR="00346851" w:rsidRPr="00837643" w:rsidRDefault="00346851" w:rsidP="00D90FC9">
            <w:pPr>
              <w:spacing w:after="0"/>
            </w:pPr>
          </w:p>
        </w:tc>
        <w:tc>
          <w:tcPr>
            <w:tcW w:w="6651" w:type="dxa"/>
            <w:shd w:val="clear" w:color="auto" w:fill="auto"/>
            <w:vAlign w:val="center"/>
            <w:hideMark/>
          </w:tcPr>
          <w:p w:rsidR="00346851" w:rsidRPr="00837643" w:rsidRDefault="00346851" w:rsidP="00D90FC9">
            <w:pPr>
              <w:spacing w:after="0"/>
            </w:pPr>
            <w:r w:rsidRPr="00837643">
              <w:t>Obce: Bukovany, Čakov, Čerčany, Čtyřkoly, Drahňovice, Hvězdonice, Chářovice, Chleby, Chlístov, Chocerady, Choratice, Chotýšany, Chrášťany, Kozmice, Krhanice, Krňany, Křečovice, Lešany, Litichovice, Lštění, Mrač, Nespeky, Ostředek, Petroupim, Popovice, Poříčí nad Sázavou,</w:t>
            </w:r>
            <w:r>
              <w:t xml:space="preserve"> Postupice, Přestavlky u Čerčan</w:t>
            </w:r>
            <w:r w:rsidRPr="00837643">
              <w:t>, Pyšely, Rabyně, Řehenice, Soběhrdy, Stranný, Struhařov, Teplýšovice, Tisem, Třebešice, Václavice, Vodslivy, Vranov, Vysoký Újezd, Xaverov</w:t>
            </w:r>
          </w:p>
        </w:tc>
      </w:tr>
    </w:tbl>
    <w:p w:rsidR="0002623E" w:rsidRPr="0020100A" w:rsidRDefault="0002623E" w:rsidP="00C92756">
      <w:pPr>
        <w:spacing w:after="120"/>
        <w:rPr>
          <w:b/>
          <w:i/>
        </w:rPr>
      </w:pPr>
      <w:r w:rsidRPr="00132F3C">
        <w:rPr>
          <w:b/>
          <w:sz w:val="24"/>
        </w:rPr>
        <w:lastRenderedPageBreak/>
        <w:t xml:space="preserve">2. </w:t>
      </w:r>
      <w:r>
        <w:rPr>
          <w:b/>
          <w:sz w:val="24"/>
        </w:rPr>
        <w:tab/>
        <w:t>Z</w:t>
      </w:r>
      <w:r w:rsidRPr="00132F3C">
        <w:rPr>
          <w:b/>
          <w:sz w:val="24"/>
        </w:rPr>
        <w:t xml:space="preserve">hodnocení průběhu dosavadních prací na projektu v území ORP </w:t>
      </w:r>
      <w:r w:rsidRPr="00132F3C">
        <w:br/>
      </w:r>
      <w:r w:rsidRPr="0020100A">
        <w:rPr>
          <w:b/>
          <w:i/>
        </w:rPr>
        <w:t>2.</w:t>
      </w:r>
      <w:r>
        <w:rPr>
          <w:b/>
          <w:i/>
        </w:rPr>
        <w:t>1</w:t>
      </w:r>
      <w:r w:rsidRPr="0020100A">
        <w:rPr>
          <w:b/>
          <w:i/>
        </w:rPr>
        <w:t xml:space="preserve"> </w:t>
      </w:r>
      <w:r>
        <w:rPr>
          <w:b/>
          <w:i/>
        </w:rPr>
        <w:tab/>
      </w:r>
      <w:r w:rsidRPr="0020100A">
        <w:rPr>
          <w:b/>
          <w:i/>
        </w:rPr>
        <w:t>Zhodnocení průběhu komunikace v území</w:t>
      </w:r>
    </w:p>
    <w:p w:rsidR="00E22A43" w:rsidRDefault="0002623E" w:rsidP="00C92756">
      <w:pPr>
        <w:spacing w:after="120"/>
        <w:ind w:left="705" w:hanging="705"/>
        <w:rPr>
          <w:b/>
          <w:i/>
        </w:rPr>
      </w:pPr>
      <w:r w:rsidRPr="00E22A43">
        <w:rPr>
          <w:b/>
          <w:i/>
        </w:rPr>
        <w:t xml:space="preserve">2.1.1 </w:t>
      </w:r>
      <w:r w:rsidRPr="00E22A43">
        <w:rPr>
          <w:b/>
          <w:i/>
        </w:rPr>
        <w:tab/>
        <w:t>Počet zapojených obcí v rámci  SO ORP do projektu</w:t>
      </w:r>
    </w:p>
    <w:p w:rsidR="00E22A43" w:rsidRPr="00E22A43" w:rsidRDefault="00E22A43" w:rsidP="00C92756">
      <w:pPr>
        <w:spacing w:after="120"/>
        <w:ind w:left="705" w:hanging="705"/>
      </w:pPr>
      <w:r w:rsidRPr="00E22A43">
        <w:rPr>
          <w:b/>
        </w:rPr>
        <w:t xml:space="preserve">Celkem se zapojilo </w:t>
      </w:r>
      <w:r w:rsidR="00A91EF0" w:rsidRPr="00E22A43">
        <w:t>49</w:t>
      </w:r>
      <w:r w:rsidRPr="00E22A43">
        <w:t xml:space="preserve"> obcí z 51 (96 %)</w:t>
      </w:r>
    </w:p>
    <w:p w:rsidR="00E22A43" w:rsidRDefault="00E22A43" w:rsidP="00FB615A">
      <w:pPr>
        <w:spacing w:after="0"/>
      </w:pPr>
      <w:r>
        <w:t>Nezapojili se:</w:t>
      </w:r>
    </w:p>
    <w:p w:rsidR="0002623E" w:rsidRDefault="00E22A43" w:rsidP="00C92756">
      <w:pPr>
        <w:spacing w:after="120"/>
        <w:rPr>
          <w:i/>
        </w:rPr>
      </w:pPr>
      <w:r>
        <w:t>Václavice – dlouhodobá neochota intenzivněji spolupracovat, spíše účastník procesu</w:t>
      </w:r>
      <w:r>
        <w:br/>
        <w:t>Poříčí nad Sázavou – dlouhodobá neochota intenzivněji spolupracovat, spíše účastník procesu, který se "veze", i z pohledu okolních obcí problematická bilaterální spolupráce.</w:t>
      </w:r>
    </w:p>
    <w:p w:rsidR="00950E67" w:rsidRPr="00FA2059" w:rsidRDefault="0002623E" w:rsidP="00C92756">
      <w:pPr>
        <w:spacing w:after="120"/>
        <w:ind w:left="705" w:hanging="705"/>
        <w:rPr>
          <w:b/>
          <w:i/>
        </w:rPr>
      </w:pPr>
      <w:r w:rsidRPr="00FA2059">
        <w:rPr>
          <w:b/>
          <w:i/>
        </w:rPr>
        <w:t>U</w:t>
      </w:r>
      <w:r w:rsidR="00950E67" w:rsidRPr="00FA2059">
        <w:rPr>
          <w:b/>
          <w:i/>
        </w:rPr>
        <w:t>skutečněná</w:t>
      </w:r>
      <w:r w:rsidRPr="00FA2059">
        <w:rPr>
          <w:b/>
          <w:i/>
        </w:rPr>
        <w:t xml:space="preserve"> jednání</w:t>
      </w:r>
    </w:p>
    <w:tbl>
      <w:tblPr>
        <w:tblW w:w="10061" w:type="dxa"/>
        <w:jc w:val="center"/>
        <w:tblInd w:w="-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4"/>
        <w:gridCol w:w="1413"/>
        <w:gridCol w:w="838"/>
        <w:gridCol w:w="1240"/>
        <w:gridCol w:w="2490"/>
        <w:gridCol w:w="2256"/>
      </w:tblGrid>
      <w:tr w:rsidR="006C7EC0" w:rsidRPr="003C2A82" w:rsidTr="00FB2AF6">
        <w:trPr>
          <w:jc w:val="center"/>
        </w:trPr>
        <w:tc>
          <w:tcPr>
            <w:tcW w:w="1824" w:type="dxa"/>
            <w:shd w:val="clear" w:color="auto" w:fill="auto"/>
            <w:hideMark/>
          </w:tcPr>
          <w:p w:rsidR="006C7EC0" w:rsidRPr="003C2A82" w:rsidRDefault="006C7EC0" w:rsidP="00FB2AF6">
            <w:pPr>
              <w:spacing w:after="0" w:line="240" w:lineRule="auto"/>
              <w:rPr>
                <w:rFonts w:eastAsia="Times New Roman"/>
                <w:color w:val="000000"/>
                <w:sz w:val="20"/>
                <w:szCs w:val="20"/>
                <w:lang w:eastAsia="cs-CZ"/>
              </w:rPr>
            </w:pPr>
            <w:r w:rsidRPr="003C2A82">
              <w:rPr>
                <w:rFonts w:eastAsia="Times New Roman"/>
                <w:b/>
                <w:bCs/>
                <w:color w:val="000000"/>
                <w:sz w:val="20"/>
                <w:szCs w:val="20"/>
                <w:lang w:eastAsia="cs-CZ"/>
              </w:rPr>
              <w:t>Název jednání</w:t>
            </w:r>
          </w:p>
        </w:tc>
        <w:tc>
          <w:tcPr>
            <w:tcW w:w="1413" w:type="dxa"/>
            <w:shd w:val="clear" w:color="auto" w:fill="auto"/>
            <w:hideMark/>
          </w:tcPr>
          <w:p w:rsidR="006C7EC0" w:rsidRPr="003C2A82" w:rsidRDefault="006C7EC0" w:rsidP="00FB2AF6">
            <w:pPr>
              <w:spacing w:after="0" w:line="240" w:lineRule="auto"/>
              <w:rPr>
                <w:rFonts w:eastAsia="Times New Roman"/>
                <w:color w:val="000000"/>
                <w:sz w:val="20"/>
                <w:szCs w:val="20"/>
                <w:lang w:eastAsia="cs-CZ"/>
              </w:rPr>
            </w:pPr>
            <w:r w:rsidRPr="003C2A82">
              <w:rPr>
                <w:rFonts w:eastAsia="Times New Roman"/>
                <w:b/>
                <w:bCs/>
                <w:color w:val="000000"/>
                <w:sz w:val="20"/>
                <w:szCs w:val="20"/>
                <w:lang w:eastAsia="cs-CZ"/>
              </w:rPr>
              <w:t>Místo jednání</w:t>
            </w:r>
          </w:p>
        </w:tc>
        <w:tc>
          <w:tcPr>
            <w:tcW w:w="838" w:type="dxa"/>
            <w:shd w:val="clear" w:color="auto" w:fill="auto"/>
            <w:hideMark/>
          </w:tcPr>
          <w:p w:rsidR="006C7EC0" w:rsidRPr="003C2A82" w:rsidRDefault="006C7EC0" w:rsidP="00FB2AF6">
            <w:pPr>
              <w:spacing w:after="0" w:line="240" w:lineRule="auto"/>
              <w:rPr>
                <w:rFonts w:eastAsia="Times New Roman"/>
                <w:color w:val="000000"/>
                <w:sz w:val="20"/>
                <w:szCs w:val="20"/>
                <w:lang w:eastAsia="cs-CZ"/>
              </w:rPr>
            </w:pPr>
            <w:r w:rsidRPr="003C2A82">
              <w:rPr>
                <w:rFonts w:eastAsia="Times New Roman"/>
                <w:b/>
                <w:bCs/>
                <w:color w:val="000000"/>
                <w:sz w:val="20"/>
                <w:szCs w:val="20"/>
                <w:lang w:eastAsia="cs-CZ"/>
              </w:rPr>
              <w:t>Počet obcí na jednání</w:t>
            </w:r>
          </w:p>
        </w:tc>
        <w:tc>
          <w:tcPr>
            <w:tcW w:w="1240" w:type="dxa"/>
            <w:shd w:val="clear" w:color="auto" w:fill="auto"/>
            <w:hideMark/>
          </w:tcPr>
          <w:p w:rsidR="006C7EC0" w:rsidRPr="003C2A82" w:rsidRDefault="006C7EC0" w:rsidP="00FB2AF6">
            <w:pPr>
              <w:spacing w:after="0" w:line="240" w:lineRule="auto"/>
              <w:rPr>
                <w:rFonts w:eastAsia="Times New Roman"/>
                <w:color w:val="000000"/>
                <w:sz w:val="20"/>
                <w:szCs w:val="20"/>
                <w:lang w:eastAsia="cs-CZ"/>
              </w:rPr>
            </w:pPr>
            <w:r w:rsidRPr="003C2A82">
              <w:rPr>
                <w:rFonts w:eastAsia="Times New Roman"/>
                <w:b/>
                <w:bCs/>
                <w:color w:val="000000"/>
                <w:sz w:val="20"/>
                <w:szCs w:val="20"/>
                <w:lang w:eastAsia="cs-CZ"/>
              </w:rPr>
              <w:t>Termín setkání</w:t>
            </w:r>
          </w:p>
        </w:tc>
        <w:tc>
          <w:tcPr>
            <w:tcW w:w="2490" w:type="dxa"/>
            <w:shd w:val="clear" w:color="auto" w:fill="auto"/>
            <w:hideMark/>
          </w:tcPr>
          <w:p w:rsidR="006C7EC0" w:rsidRPr="003C2A82" w:rsidRDefault="006C7EC0" w:rsidP="00FB2AF6">
            <w:pPr>
              <w:spacing w:after="0" w:line="240" w:lineRule="auto"/>
              <w:rPr>
                <w:rFonts w:eastAsia="Times New Roman"/>
                <w:color w:val="000000"/>
                <w:sz w:val="20"/>
                <w:szCs w:val="20"/>
                <w:lang w:eastAsia="cs-CZ"/>
              </w:rPr>
            </w:pPr>
            <w:r w:rsidRPr="003C2A82">
              <w:rPr>
                <w:rFonts w:eastAsia="Times New Roman"/>
                <w:b/>
                <w:bCs/>
                <w:color w:val="000000"/>
                <w:sz w:val="20"/>
                <w:szCs w:val="20"/>
                <w:lang w:eastAsia="cs-CZ"/>
              </w:rPr>
              <w:t>Témata jednání</w:t>
            </w:r>
          </w:p>
        </w:tc>
        <w:tc>
          <w:tcPr>
            <w:tcW w:w="2256" w:type="dxa"/>
            <w:shd w:val="clear" w:color="auto" w:fill="auto"/>
            <w:hideMark/>
          </w:tcPr>
          <w:p w:rsidR="006C7EC0" w:rsidRPr="003C2A82" w:rsidRDefault="006C7EC0" w:rsidP="00FB2AF6">
            <w:pPr>
              <w:spacing w:after="0" w:line="240" w:lineRule="auto"/>
              <w:rPr>
                <w:rFonts w:eastAsia="Times New Roman"/>
                <w:color w:val="000000"/>
                <w:sz w:val="20"/>
                <w:szCs w:val="20"/>
                <w:lang w:eastAsia="cs-CZ"/>
              </w:rPr>
            </w:pPr>
            <w:r w:rsidRPr="003C2A82">
              <w:rPr>
                <w:rFonts w:eastAsia="Times New Roman"/>
                <w:b/>
                <w:bCs/>
                <w:color w:val="000000"/>
                <w:sz w:val="20"/>
                <w:szCs w:val="20"/>
                <w:lang w:eastAsia="cs-CZ"/>
              </w:rPr>
              <w:t>Závěry jednání</w:t>
            </w:r>
          </w:p>
        </w:tc>
      </w:tr>
      <w:tr w:rsidR="006C7EC0" w:rsidRPr="003C2A82" w:rsidTr="00FB2AF6">
        <w:trPr>
          <w:jc w:val="center"/>
        </w:trPr>
        <w:tc>
          <w:tcPr>
            <w:tcW w:w="1824" w:type="dxa"/>
            <w:shd w:val="clear" w:color="auto" w:fill="auto"/>
            <w:vAlign w:val="bottom"/>
          </w:tcPr>
          <w:p w:rsidR="006C7EC0" w:rsidRPr="003C2A82" w:rsidRDefault="006C7EC0"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CHOPOS</w:t>
            </w:r>
          </w:p>
        </w:tc>
        <w:tc>
          <w:tcPr>
            <w:tcW w:w="1413" w:type="dxa"/>
            <w:shd w:val="clear" w:color="auto" w:fill="auto"/>
          </w:tcPr>
          <w:p w:rsidR="006C7EC0" w:rsidRPr="003C2A82" w:rsidRDefault="006C7EC0" w:rsidP="00FB2AF6">
            <w:pPr>
              <w:spacing w:after="0" w:line="240" w:lineRule="auto"/>
              <w:rPr>
                <w:rFonts w:eastAsia="Times New Roman"/>
                <w:color w:val="000000"/>
                <w:sz w:val="20"/>
                <w:szCs w:val="20"/>
                <w:lang w:eastAsia="cs-CZ"/>
              </w:rPr>
            </w:pPr>
          </w:p>
        </w:tc>
        <w:tc>
          <w:tcPr>
            <w:tcW w:w="838" w:type="dxa"/>
            <w:shd w:val="clear" w:color="auto" w:fill="auto"/>
            <w:vAlign w:val="bottom"/>
          </w:tcPr>
          <w:p w:rsidR="006C7EC0" w:rsidRPr="003C2A82" w:rsidRDefault="006C7EC0"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17</w:t>
            </w:r>
          </w:p>
        </w:tc>
        <w:tc>
          <w:tcPr>
            <w:tcW w:w="1240" w:type="dxa"/>
            <w:shd w:val="clear" w:color="auto" w:fill="auto"/>
            <w:vAlign w:val="bottom"/>
          </w:tcPr>
          <w:p w:rsidR="006C7EC0" w:rsidRPr="003C2A82" w:rsidRDefault="006C7EC0" w:rsidP="00FB2AF6">
            <w:pPr>
              <w:spacing w:after="0" w:line="240" w:lineRule="auto"/>
              <w:jc w:val="right"/>
              <w:rPr>
                <w:rFonts w:eastAsia="Times New Roman"/>
                <w:color w:val="000000"/>
                <w:sz w:val="20"/>
                <w:szCs w:val="20"/>
                <w:lang w:eastAsia="cs-CZ"/>
              </w:rPr>
            </w:pPr>
            <w:r w:rsidRPr="003C2A82">
              <w:rPr>
                <w:rFonts w:eastAsia="Times New Roman"/>
                <w:color w:val="000000"/>
                <w:sz w:val="20"/>
                <w:szCs w:val="20"/>
                <w:lang w:eastAsia="cs-CZ"/>
              </w:rPr>
              <w:t>3. 12. 2013</w:t>
            </w:r>
          </w:p>
        </w:tc>
        <w:tc>
          <w:tcPr>
            <w:tcW w:w="2490" w:type="dxa"/>
            <w:shd w:val="clear" w:color="auto" w:fill="auto"/>
          </w:tcPr>
          <w:p w:rsidR="006C7EC0" w:rsidRPr="003C2A82" w:rsidRDefault="006C7EC0" w:rsidP="00FB2AF6">
            <w:pPr>
              <w:spacing w:after="0" w:line="240" w:lineRule="auto"/>
              <w:rPr>
                <w:rFonts w:eastAsia="Times New Roman"/>
                <w:color w:val="000000"/>
                <w:sz w:val="20"/>
                <w:szCs w:val="20"/>
                <w:lang w:eastAsia="cs-CZ"/>
              </w:rPr>
            </w:pPr>
          </w:p>
        </w:tc>
        <w:tc>
          <w:tcPr>
            <w:tcW w:w="2256" w:type="dxa"/>
            <w:shd w:val="clear" w:color="auto" w:fill="auto"/>
          </w:tcPr>
          <w:p w:rsidR="006C7EC0" w:rsidRPr="003C2A82" w:rsidRDefault="006C7EC0" w:rsidP="00FB2AF6">
            <w:pPr>
              <w:spacing w:after="0" w:line="240" w:lineRule="auto"/>
              <w:rPr>
                <w:rFonts w:eastAsia="Times New Roman"/>
                <w:color w:val="000000"/>
                <w:sz w:val="20"/>
                <w:szCs w:val="20"/>
                <w:lang w:eastAsia="cs-CZ"/>
              </w:rPr>
            </w:pPr>
          </w:p>
        </w:tc>
      </w:tr>
      <w:tr w:rsidR="006C7EC0" w:rsidRPr="003C2A82" w:rsidTr="00FB2AF6">
        <w:trPr>
          <w:jc w:val="center"/>
        </w:trPr>
        <w:tc>
          <w:tcPr>
            <w:tcW w:w="1824" w:type="dxa"/>
            <w:shd w:val="clear" w:color="auto" w:fill="auto"/>
            <w:vAlign w:val="bottom"/>
          </w:tcPr>
          <w:p w:rsidR="006C7EC0" w:rsidRPr="003C2A82" w:rsidRDefault="006C7EC0"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CHOPOS</w:t>
            </w:r>
          </w:p>
        </w:tc>
        <w:tc>
          <w:tcPr>
            <w:tcW w:w="1413" w:type="dxa"/>
            <w:shd w:val="clear" w:color="auto" w:fill="auto"/>
          </w:tcPr>
          <w:p w:rsidR="006C7EC0" w:rsidRPr="003C2A82" w:rsidRDefault="006C7EC0" w:rsidP="00FB2AF6">
            <w:pPr>
              <w:spacing w:after="0" w:line="240" w:lineRule="auto"/>
              <w:rPr>
                <w:rFonts w:eastAsia="Times New Roman"/>
                <w:color w:val="000000"/>
                <w:sz w:val="20"/>
                <w:szCs w:val="20"/>
                <w:lang w:eastAsia="cs-CZ"/>
              </w:rPr>
            </w:pPr>
          </w:p>
        </w:tc>
        <w:tc>
          <w:tcPr>
            <w:tcW w:w="838" w:type="dxa"/>
            <w:shd w:val="clear" w:color="auto" w:fill="auto"/>
            <w:vAlign w:val="bottom"/>
          </w:tcPr>
          <w:p w:rsidR="006C7EC0" w:rsidRPr="003C2A82" w:rsidRDefault="006C7EC0"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14</w:t>
            </w:r>
          </w:p>
        </w:tc>
        <w:tc>
          <w:tcPr>
            <w:tcW w:w="1240" w:type="dxa"/>
            <w:shd w:val="clear" w:color="auto" w:fill="auto"/>
            <w:vAlign w:val="bottom"/>
          </w:tcPr>
          <w:p w:rsidR="006C7EC0" w:rsidRPr="003C2A82" w:rsidRDefault="006C7EC0" w:rsidP="00FB2AF6">
            <w:pPr>
              <w:spacing w:after="0" w:line="240" w:lineRule="auto"/>
              <w:jc w:val="right"/>
              <w:rPr>
                <w:rFonts w:eastAsia="Times New Roman"/>
                <w:color w:val="000000"/>
                <w:sz w:val="20"/>
                <w:szCs w:val="20"/>
                <w:lang w:eastAsia="cs-CZ"/>
              </w:rPr>
            </w:pPr>
            <w:r w:rsidRPr="003C2A82">
              <w:rPr>
                <w:rFonts w:eastAsia="Times New Roman"/>
                <w:color w:val="000000"/>
                <w:sz w:val="20"/>
                <w:szCs w:val="20"/>
                <w:lang w:eastAsia="cs-CZ"/>
              </w:rPr>
              <w:t>27. 12. 2013</w:t>
            </w:r>
          </w:p>
        </w:tc>
        <w:tc>
          <w:tcPr>
            <w:tcW w:w="2490" w:type="dxa"/>
            <w:shd w:val="clear" w:color="auto" w:fill="auto"/>
          </w:tcPr>
          <w:p w:rsidR="006C7EC0" w:rsidRPr="003C2A82" w:rsidRDefault="006C7EC0" w:rsidP="00FB2AF6">
            <w:pPr>
              <w:spacing w:after="0" w:line="240" w:lineRule="auto"/>
              <w:rPr>
                <w:rFonts w:eastAsia="Times New Roman"/>
                <w:color w:val="000000"/>
                <w:sz w:val="20"/>
                <w:szCs w:val="20"/>
                <w:lang w:eastAsia="cs-CZ"/>
              </w:rPr>
            </w:pPr>
          </w:p>
        </w:tc>
        <w:tc>
          <w:tcPr>
            <w:tcW w:w="2256" w:type="dxa"/>
            <w:shd w:val="clear" w:color="auto" w:fill="auto"/>
          </w:tcPr>
          <w:p w:rsidR="006C7EC0" w:rsidRPr="003C2A82" w:rsidRDefault="006C7EC0" w:rsidP="00FB2AF6">
            <w:pPr>
              <w:spacing w:after="0" w:line="240" w:lineRule="auto"/>
              <w:rPr>
                <w:rFonts w:eastAsia="Times New Roman"/>
                <w:color w:val="000000"/>
                <w:sz w:val="20"/>
                <w:szCs w:val="20"/>
                <w:lang w:eastAsia="cs-CZ"/>
              </w:rPr>
            </w:pPr>
          </w:p>
        </w:tc>
      </w:tr>
      <w:tr w:rsidR="006C7EC0" w:rsidRPr="003C2A82" w:rsidTr="00FB2AF6">
        <w:trPr>
          <w:jc w:val="center"/>
        </w:trPr>
        <w:tc>
          <w:tcPr>
            <w:tcW w:w="1824" w:type="dxa"/>
            <w:shd w:val="clear" w:color="auto" w:fill="auto"/>
            <w:vAlign w:val="bottom"/>
          </w:tcPr>
          <w:p w:rsidR="006C7EC0" w:rsidRPr="003C2A82" w:rsidRDefault="006C7EC0"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CHOPOS</w:t>
            </w:r>
          </w:p>
        </w:tc>
        <w:tc>
          <w:tcPr>
            <w:tcW w:w="1413" w:type="dxa"/>
            <w:shd w:val="clear" w:color="auto" w:fill="auto"/>
          </w:tcPr>
          <w:p w:rsidR="006C7EC0" w:rsidRPr="003C2A82" w:rsidRDefault="006C7EC0" w:rsidP="00FB2AF6">
            <w:pPr>
              <w:spacing w:after="0" w:line="240" w:lineRule="auto"/>
              <w:rPr>
                <w:rFonts w:eastAsia="Times New Roman"/>
                <w:color w:val="000000"/>
                <w:sz w:val="20"/>
                <w:szCs w:val="20"/>
                <w:lang w:eastAsia="cs-CZ"/>
              </w:rPr>
            </w:pPr>
          </w:p>
        </w:tc>
        <w:tc>
          <w:tcPr>
            <w:tcW w:w="838" w:type="dxa"/>
            <w:shd w:val="clear" w:color="auto" w:fill="auto"/>
            <w:vAlign w:val="bottom"/>
          </w:tcPr>
          <w:p w:rsidR="006C7EC0" w:rsidRPr="003C2A82" w:rsidRDefault="006C7EC0"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16</w:t>
            </w:r>
          </w:p>
        </w:tc>
        <w:tc>
          <w:tcPr>
            <w:tcW w:w="1240" w:type="dxa"/>
            <w:shd w:val="clear" w:color="auto" w:fill="auto"/>
            <w:vAlign w:val="bottom"/>
          </w:tcPr>
          <w:p w:rsidR="006C7EC0" w:rsidRPr="003C2A82" w:rsidRDefault="006C7EC0" w:rsidP="00FB2AF6">
            <w:pPr>
              <w:spacing w:after="0" w:line="240" w:lineRule="auto"/>
              <w:jc w:val="right"/>
              <w:rPr>
                <w:rFonts w:eastAsia="Times New Roman"/>
                <w:color w:val="000000"/>
                <w:sz w:val="20"/>
                <w:szCs w:val="20"/>
                <w:lang w:eastAsia="cs-CZ"/>
              </w:rPr>
            </w:pPr>
            <w:r w:rsidRPr="003C2A82">
              <w:rPr>
                <w:rFonts w:eastAsia="Times New Roman"/>
                <w:color w:val="000000"/>
                <w:sz w:val="20"/>
                <w:szCs w:val="20"/>
                <w:lang w:eastAsia="cs-CZ"/>
              </w:rPr>
              <w:t>28. 1. 2014</w:t>
            </w:r>
          </w:p>
        </w:tc>
        <w:tc>
          <w:tcPr>
            <w:tcW w:w="2490" w:type="dxa"/>
            <w:shd w:val="clear" w:color="auto" w:fill="auto"/>
          </w:tcPr>
          <w:p w:rsidR="006C7EC0" w:rsidRPr="003C2A82" w:rsidRDefault="006C7EC0" w:rsidP="00FB2AF6">
            <w:pPr>
              <w:spacing w:after="0" w:line="240" w:lineRule="auto"/>
              <w:rPr>
                <w:rFonts w:eastAsia="Times New Roman"/>
                <w:color w:val="000000"/>
                <w:sz w:val="20"/>
                <w:szCs w:val="20"/>
                <w:lang w:eastAsia="cs-CZ"/>
              </w:rPr>
            </w:pPr>
          </w:p>
        </w:tc>
        <w:tc>
          <w:tcPr>
            <w:tcW w:w="2256" w:type="dxa"/>
            <w:shd w:val="clear" w:color="auto" w:fill="auto"/>
          </w:tcPr>
          <w:p w:rsidR="006C7EC0" w:rsidRPr="003C2A82" w:rsidRDefault="006C7EC0" w:rsidP="00FB2AF6">
            <w:pPr>
              <w:spacing w:after="0" w:line="240" w:lineRule="auto"/>
              <w:rPr>
                <w:rFonts w:eastAsia="Times New Roman"/>
                <w:color w:val="000000"/>
                <w:sz w:val="20"/>
                <w:szCs w:val="20"/>
                <w:lang w:eastAsia="cs-CZ"/>
              </w:rPr>
            </w:pPr>
          </w:p>
        </w:tc>
      </w:tr>
      <w:tr w:rsidR="006C7EC0" w:rsidRPr="003C2A82" w:rsidTr="00FB2AF6">
        <w:trPr>
          <w:jc w:val="center"/>
        </w:trPr>
        <w:tc>
          <w:tcPr>
            <w:tcW w:w="1824" w:type="dxa"/>
            <w:shd w:val="clear" w:color="auto" w:fill="auto"/>
            <w:vAlign w:val="bottom"/>
          </w:tcPr>
          <w:p w:rsidR="006C7EC0" w:rsidRPr="003C2A82" w:rsidRDefault="006C7EC0"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Malé Posázaví</w:t>
            </w:r>
          </w:p>
        </w:tc>
        <w:tc>
          <w:tcPr>
            <w:tcW w:w="1413" w:type="dxa"/>
            <w:shd w:val="clear" w:color="auto" w:fill="auto"/>
          </w:tcPr>
          <w:p w:rsidR="006C7EC0" w:rsidRPr="003C2A82" w:rsidRDefault="006C7EC0" w:rsidP="00FB2AF6">
            <w:pPr>
              <w:spacing w:after="0" w:line="240" w:lineRule="auto"/>
              <w:rPr>
                <w:rFonts w:eastAsia="Times New Roman"/>
                <w:color w:val="000000"/>
                <w:sz w:val="20"/>
                <w:szCs w:val="20"/>
                <w:lang w:eastAsia="cs-CZ"/>
              </w:rPr>
            </w:pPr>
          </w:p>
        </w:tc>
        <w:tc>
          <w:tcPr>
            <w:tcW w:w="838" w:type="dxa"/>
            <w:shd w:val="clear" w:color="auto" w:fill="auto"/>
            <w:vAlign w:val="bottom"/>
          </w:tcPr>
          <w:p w:rsidR="006C7EC0" w:rsidRPr="003C2A82" w:rsidRDefault="006C7EC0"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8</w:t>
            </w:r>
          </w:p>
        </w:tc>
        <w:tc>
          <w:tcPr>
            <w:tcW w:w="1240" w:type="dxa"/>
            <w:shd w:val="clear" w:color="auto" w:fill="auto"/>
            <w:vAlign w:val="bottom"/>
          </w:tcPr>
          <w:p w:rsidR="006C7EC0" w:rsidRPr="003C2A82" w:rsidRDefault="006C7EC0" w:rsidP="00FB2AF6">
            <w:pPr>
              <w:spacing w:after="0" w:line="240" w:lineRule="auto"/>
              <w:jc w:val="right"/>
              <w:rPr>
                <w:rFonts w:eastAsia="Times New Roman"/>
                <w:color w:val="000000"/>
                <w:sz w:val="20"/>
                <w:szCs w:val="20"/>
                <w:lang w:eastAsia="cs-CZ"/>
              </w:rPr>
            </w:pPr>
            <w:r w:rsidRPr="003C2A82">
              <w:rPr>
                <w:rFonts w:eastAsia="Times New Roman"/>
                <w:color w:val="000000"/>
                <w:sz w:val="20"/>
                <w:szCs w:val="20"/>
                <w:lang w:eastAsia="cs-CZ"/>
              </w:rPr>
              <w:t>12. 12. 2013</w:t>
            </w:r>
          </w:p>
        </w:tc>
        <w:tc>
          <w:tcPr>
            <w:tcW w:w="2490" w:type="dxa"/>
            <w:shd w:val="clear" w:color="auto" w:fill="auto"/>
          </w:tcPr>
          <w:p w:rsidR="006C7EC0" w:rsidRPr="003C2A82" w:rsidRDefault="006C7EC0" w:rsidP="00FB2AF6">
            <w:pPr>
              <w:spacing w:after="0" w:line="240" w:lineRule="auto"/>
              <w:rPr>
                <w:rFonts w:eastAsia="Times New Roman"/>
                <w:color w:val="000000"/>
                <w:sz w:val="20"/>
                <w:szCs w:val="20"/>
                <w:lang w:eastAsia="cs-CZ"/>
              </w:rPr>
            </w:pPr>
          </w:p>
        </w:tc>
        <w:tc>
          <w:tcPr>
            <w:tcW w:w="2256" w:type="dxa"/>
            <w:shd w:val="clear" w:color="auto" w:fill="auto"/>
          </w:tcPr>
          <w:p w:rsidR="006C7EC0" w:rsidRPr="003C2A82" w:rsidRDefault="006C7EC0" w:rsidP="00FB2AF6">
            <w:pPr>
              <w:spacing w:after="0" w:line="240" w:lineRule="auto"/>
              <w:rPr>
                <w:rFonts w:eastAsia="Times New Roman"/>
                <w:color w:val="000000"/>
                <w:sz w:val="20"/>
                <w:szCs w:val="20"/>
                <w:lang w:eastAsia="cs-CZ"/>
              </w:rPr>
            </w:pPr>
          </w:p>
        </w:tc>
      </w:tr>
      <w:tr w:rsidR="006C7EC0" w:rsidRPr="003C2A82" w:rsidTr="00FB2AF6">
        <w:trPr>
          <w:jc w:val="center"/>
        </w:trPr>
        <w:tc>
          <w:tcPr>
            <w:tcW w:w="1824" w:type="dxa"/>
            <w:shd w:val="clear" w:color="auto" w:fill="auto"/>
            <w:vAlign w:val="bottom"/>
          </w:tcPr>
          <w:p w:rsidR="006C7EC0" w:rsidRPr="003C2A82" w:rsidRDefault="006C7EC0"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MAS Posázaví</w:t>
            </w:r>
          </w:p>
        </w:tc>
        <w:tc>
          <w:tcPr>
            <w:tcW w:w="1413" w:type="dxa"/>
            <w:shd w:val="clear" w:color="auto" w:fill="auto"/>
          </w:tcPr>
          <w:p w:rsidR="006C7EC0" w:rsidRPr="003C2A82" w:rsidRDefault="006C7EC0" w:rsidP="00FB2AF6">
            <w:pPr>
              <w:spacing w:after="0" w:line="240" w:lineRule="auto"/>
              <w:rPr>
                <w:rFonts w:eastAsia="Times New Roman"/>
                <w:color w:val="000000"/>
                <w:sz w:val="20"/>
                <w:szCs w:val="20"/>
                <w:lang w:eastAsia="cs-CZ"/>
              </w:rPr>
            </w:pPr>
          </w:p>
        </w:tc>
        <w:tc>
          <w:tcPr>
            <w:tcW w:w="838" w:type="dxa"/>
            <w:shd w:val="clear" w:color="auto" w:fill="auto"/>
            <w:vAlign w:val="bottom"/>
          </w:tcPr>
          <w:p w:rsidR="006C7EC0" w:rsidRPr="003C2A82" w:rsidRDefault="006C7EC0"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9</w:t>
            </w:r>
          </w:p>
        </w:tc>
        <w:tc>
          <w:tcPr>
            <w:tcW w:w="1240" w:type="dxa"/>
            <w:shd w:val="clear" w:color="auto" w:fill="auto"/>
            <w:vAlign w:val="bottom"/>
          </w:tcPr>
          <w:p w:rsidR="006C7EC0" w:rsidRPr="003C2A82" w:rsidRDefault="006C7EC0" w:rsidP="00FB2AF6">
            <w:pPr>
              <w:spacing w:after="0" w:line="240" w:lineRule="auto"/>
              <w:jc w:val="right"/>
              <w:rPr>
                <w:rFonts w:eastAsia="Times New Roman"/>
                <w:color w:val="000000"/>
                <w:sz w:val="20"/>
                <w:szCs w:val="20"/>
                <w:lang w:eastAsia="cs-CZ"/>
              </w:rPr>
            </w:pPr>
            <w:r w:rsidRPr="003C2A82">
              <w:rPr>
                <w:rFonts w:eastAsia="Times New Roman"/>
                <w:color w:val="000000"/>
                <w:sz w:val="20"/>
                <w:szCs w:val="20"/>
                <w:lang w:eastAsia="cs-CZ"/>
              </w:rPr>
              <w:t>17. 12. 2013</w:t>
            </w:r>
          </w:p>
        </w:tc>
        <w:tc>
          <w:tcPr>
            <w:tcW w:w="2490" w:type="dxa"/>
            <w:shd w:val="clear" w:color="auto" w:fill="auto"/>
          </w:tcPr>
          <w:p w:rsidR="006C7EC0" w:rsidRPr="003C2A82" w:rsidRDefault="006C7EC0" w:rsidP="00FB2AF6">
            <w:pPr>
              <w:spacing w:after="0" w:line="240" w:lineRule="auto"/>
              <w:rPr>
                <w:rFonts w:eastAsia="Times New Roman"/>
                <w:color w:val="000000"/>
                <w:sz w:val="20"/>
                <w:szCs w:val="20"/>
                <w:lang w:eastAsia="cs-CZ"/>
              </w:rPr>
            </w:pPr>
          </w:p>
        </w:tc>
        <w:tc>
          <w:tcPr>
            <w:tcW w:w="2256" w:type="dxa"/>
            <w:shd w:val="clear" w:color="auto" w:fill="auto"/>
          </w:tcPr>
          <w:p w:rsidR="006C7EC0" w:rsidRPr="003C2A82" w:rsidRDefault="006C7EC0" w:rsidP="00FB2AF6">
            <w:pPr>
              <w:spacing w:after="0" w:line="240" w:lineRule="auto"/>
              <w:rPr>
                <w:rFonts w:eastAsia="Times New Roman"/>
                <w:color w:val="000000"/>
                <w:sz w:val="20"/>
                <w:szCs w:val="20"/>
                <w:lang w:eastAsia="cs-CZ"/>
              </w:rPr>
            </w:pPr>
          </w:p>
        </w:tc>
      </w:tr>
      <w:tr w:rsidR="006C7EC0" w:rsidRPr="003C2A82" w:rsidTr="00FB2AF6">
        <w:trPr>
          <w:jc w:val="center"/>
        </w:trPr>
        <w:tc>
          <w:tcPr>
            <w:tcW w:w="1824" w:type="dxa"/>
            <w:shd w:val="clear" w:color="auto" w:fill="auto"/>
            <w:vAlign w:val="bottom"/>
          </w:tcPr>
          <w:p w:rsidR="006C7EC0" w:rsidRPr="003C2A82" w:rsidRDefault="006C7EC0"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Týnecko</w:t>
            </w:r>
          </w:p>
        </w:tc>
        <w:tc>
          <w:tcPr>
            <w:tcW w:w="1413" w:type="dxa"/>
            <w:shd w:val="clear" w:color="auto" w:fill="auto"/>
          </w:tcPr>
          <w:p w:rsidR="006C7EC0" w:rsidRPr="003C2A82" w:rsidRDefault="006C7EC0" w:rsidP="00FB2AF6">
            <w:pPr>
              <w:spacing w:after="0" w:line="240" w:lineRule="auto"/>
              <w:rPr>
                <w:rFonts w:eastAsia="Times New Roman"/>
                <w:color w:val="000000"/>
                <w:sz w:val="20"/>
                <w:szCs w:val="20"/>
                <w:lang w:eastAsia="cs-CZ"/>
              </w:rPr>
            </w:pPr>
          </w:p>
        </w:tc>
        <w:tc>
          <w:tcPr>
            <w:tcW w:w="838" w:type="dxa"/>
            <w:shd w:val="clear" w:color="auto" w:fill="auto"/>
            <w:vAlign w:val="bottom"/>
          </w:tcPr>
          <w:p w:rsidR="006C7EC0" w:rsidRPr="003C2A82" w:rsidRDefault="006C7EC0"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6</w:t>
            </w:r>
          </w:p>
        </w:tc>
        <w:tc>
          <w:tcPr>
            <w:tcW w:w="1240" w:type="dxa"/>
            <w:shd w:val="clear" w:color="auto" w:fill="auto"/>
            <w:vAlign w:val="bottom"/>
          </w:tcPr>
          <w:p w:rsidR="006C7EC0" w:rsidRPr="003C2A82" w:rsidRDefault="006C7EC0" w:rsidP="00FB2AF6">
            <w:pPr>
              <w:spacing w:after="0" w:line="240" w:lineRule="auto"/>
              <w:jc w:val="right"/>
              <w:rPr>
                <w:rFonts w:eastAsia="Times New Roman"/>
                <w:color w:val="000000"/>
                <w:sz w:val="20"/>
                <w:szCs w:val="20"/>
                <w:lang w:eastAsia="cs-CZ"/>
              </w:rPr>
            </w:pPr>
            <w:r w:rsidRPr="003C2A82">
              <w:rPr>
                <w:rFonts w:eastAsia="Times New Roman"/>
                <w:color w:val="000000"/>
                <w:sz w:val="20"/>
                <w:szCs w:val="20"/>
                <w:lang w:eastAsia="cs-CZ"/>
              </w:rPr>
              <w:t>12. 2. 2014</w:t>
            </w:r>
          </w:p>
        </w:tc>
        <w:tc>
          <w:tcPr>
            <w:tcW w:w="2490" w:type="dxa"/>
            <w:shd w:val="clear" w:color="auto" w:fill="auto"/>
          </w:tcPr>
          <w:p w:rsidR="006C7EC0" w:rsidRPr="003C2A82" w:rsidRDefault="006C7EC0" w:rsidP="00FB2AF6">
            <w:pPr>
              <w:spacing w:after="0" w:line="240" w:lineRule="auto"/>
              <w:rPr>
                <w:rFonts w:eastAsia="Times New Roman"/>
                <w:color w:val="000000"/>
                <w:sz w:val="20"/>
                <w:szCs w:val="20"/>
                <w:lang w:eastAsia="cs-CZ"/>
              </w:rPr>
            </w:pPr>
          </w:p>
        </w:tc>
        <w:tc>
          <w:tcPr>
            <w:tcW w:w="2256" w:type="dxa"/>
            <w:shd w:val="clear" w:color="auto" w:fill="auto"/>
          </w:tcPr>
          <w:p w:rsidR="006C7EC0" w:rsidRPr="003C2A82" w:rsidRDefault="006C7EC0" w:rsidP="00FB2AF6">
            <w:pPr>
              <w:spacing w:after="0" w:line="240" w:lineRule="auto"/>
              <w:rPr>
                <w:rFonts w:eastAsia="Times New Roman"/>
                <w:color w:val="000000"/>
                <w:sz w:val="20"/>
                <w:szCs w:val="20"/>
                <w:lang w:eastAsia="cs-CZ"/>
              </w:rPr>
            </w:pPr>
          </w:p>
        </w:tc>
      </w:tr>
      <w:tr w:rsidR="006C7EC0" w:rsidRPr="003C2A82" w:rsidTr="00FB2AF6">
        <w:trPr>
          <w:jc w:val="center"/>
        </w:trPr>
        <w:tc>
          <w:tcPr>
            <w:tcW w:w="1824" w:type="dxa"/>
            <w:shd w:val="clear" w:color="auto" w:fill="auto"/>
            <w:vAlign w:val="bottom"/>
          </w:tcPr>
          <w:p w:rsidR="006C7EC0" w:rsidRPr="003C2A82" w:rsidRDefault="006C7EC0"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CHOPOS</w:t>
            </w:r>
          </w:p>
        </w:tc>
        <w:tc>
          <w:tcPr>
            <w:tcW w:w="1413" w:type="dxa"/>
            <w:shd w:val="clear" w:color="auto" w:fill="auto"/>
          </w:tcPr>
          <w:p w:rsidR="006C7EC0" w:rsidRPr="003C2A82" w:rsidRDefault="006C7EC0" w:rsidP="00FB2AF6">
            <w:pPr>
              <w:spacing w:after="0" w:line="240" w:lineRule="auto"/>
              <w:rPr>
                <w:rFonts w:eastAsia="Times New Roman"/>
                <w:color w:val="000000"/>
                <w:sz w:val="20"/>
                <w:szCs w:val="20"/>
                <w:lang w:eastAsia="cs-CZ"/>
              </w:rPr>
            </w:pPr>
          </w:p>
        </w:tc>
        <w:tc>
          <w:tcPr>
            <w:tcW w:w="838" w:type="dxa"/>
            <w:shd w:val="clear" w:color="auto" w:fill="auto"/>
            <w:vAlign w:val="bottom"/>
          </w:tcPr>
          <w:p w:rsidR="006C7EC0" w:rsidRPr="003C2A82" w:rsidRDefault="006C7EC0"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14</w:t>
            </w:r>
          </w:p>
        </w:tc>
        <w:tc>
          <w:tcPr>
            <w:tcW w:w="1240" w:type="dxa"/>
            <w:shd w:val="clear" w:color="auto" w:fill="auto"/>
            <w:vAlign w:val="bottom"/>
          </w:tcPr>
          <w:p w:rsidR="006C7EC0" w:rsidRPr="003C2A82" w:rsidRDefault="006C7EC0" w:rsidP="00FB2AF6">
            <w:pPr>
              <w:spacing w:after="0" w:line="240" w:lineRule="auto"/>
              <w:jc w:val="right"/>
              <w:rPr>
                <w:rFonts w:eastAsia="Times New Roman"/>
                <w:color w:val="000000"/>
                <w:sz w:val="20"/>
                <w:szCs w:val="20"/>
                <w:lang w:eastAsia="cs-CZ"/>
              </w:rPr>
            </w:pPr>
            <w:r w:rsidRPr="003C2A82">
              <w:rPr>
                <w:rFonts w:eastAsia="Times New Roman"/>
                <w:color w:val="000000"/>
                <w:sz w:val="20"/>
                <w:szCs w:val="20"/>
                <w:lang w:eastAsia="cs-CZ"/>
              </w:rPr>
              <w:t>25. 2. 2014</w:t>
            </w:r>
          </w:p>
        </w:tc>
        <w:tc>
          <w:tcPr>
            <w:tcW w:w="2490" w:type="dxa"/>
            <w:shd w:val="clear" w:color="auto" w:fill="auto"/>
          </w:tcPr>
          <w:p w:rsidR="006C7EC0" w:rsidRPr="003C2A82" w:rsidRDefault="006C7EC0" w:rsidP="00FB2AF6">
            <w:pPr>
              <w:spacing w:after="0" w:line="240" w:lineRule="auto"/>
              <w:rPr>
                <w:rFonts w:eastAsia="Times New Roman"/>
                <w:color w:val="000000"/>
                <w:sz w:val="20"/>
                <w:szCs w:val="20"/>
                <w:lang w:eastAsia="cs-CZ"/>
              </w:rPr>
            </w:pPr>
          </w:p>
        </w:tc>
        <w:tc>
          <w:tcPr>
            <w:tcW w:w="2256" w:type="dxa"/>
            <w:shd w:val="clear" w:color="auto" w:fill="auto"/>
          </w:tcPr>
          <w:p w:rsidR="006C7EC0" w:rsidRPr="003C2A82" w:rsidRDefault="006C7EC0" w:rsidP="00FB2AF6">
            <w:pPr>
              <w:spacing w:after="0" w:line="240" w:lineRule="auto"/>
              <w:rPr>
                <w:rFonts w:eastAsia="Times New Roman"/>
                <w:color w:val="000000"/>
                <w:sz w:val="20"/>
                <w:szCs w:val="20"/>
                <w:lang w:eastAsia="cs-CZ"/>
              </w:rPr>
            </w:pPr>
          </w:p>
        </w:tc>
      </w:tr>
      <w:tr w:rsidR="006C7EC0" w:rsidRPr="003C2A82" w:rsidTr="00FB2AF6">
        <w:trPr>
          <w:jc w:val="center"/>
        </w:trPr>
        <w:tc>
          <w:tcPr>
            <w:tcW w:w="1824" w:type="dxa"/>
            <w:shd w:val="clear" w:color="auto" w:fill="auto"/>
            <w:vAlign w:val="bottom"/>
          </w:tcPr>
          <w:p w:rsidR="006C7EC0" w:rsidRPr="003C2A82" w:rsidRDefault="006C7EC0"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Malé Posázaví</w:t>
            </w:r>
          </w:p>
        </w:tc>
        <w:tc>
          <w:tcPr>
            <w:tcW w:w="1413" w:type="dxa"/>
            <w:shd w:val="clear" w:color="auto" w:fill="auto"/>
          </w:tcPr>
          <w:p w:rsidR="006C7EC0" w:rsidRPr="003C2A82" w:rsidRDefault="006C7EC0" w:rsidP="00FB2AF6">
            <w:pPr>
              <w:spacing w:after="0" w:line="240" w:lineRule="auto"/>
              <w:rPr>
                <w:rFonts w:eastAsia="Times New Roman"/>
                <w:color w:val="000000"/>
                <w:sz w:val="20"/>
                <w:szCs w:val="20"/>
                <w:lang w:eastAsia="cs-CZ"/>
              </w:rPr>
            </w:pPr>
          </w:p>
        </w:tc>
        <w:tc>
          <w:tcPr>
            <w:tcW w:w="838" w:type="dxa"/>
            <w:shd w:val="clear" w:color="auto" w:fill="auto"/>
            <w:vAlign w:val="bottom"/>
          </w:tcPr>
          <w:p w:rsidR="006C7EC0" w:rsidRPr="003C2A82" w:rsidRDefault="006C7EC0"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9</w:t>
            </w:r>
          </w:p>
        </w:tc>
        <w:tc>
          <w:tcPr>
            <w:tcW w:w="1240" w:type="dxa"/>
            <w:shd w:val="clear" w:color="auto" w:fill="auto"/>
            <w:vAlign w:val="bottom"/>
          </w:tcPr>
          <w:p w:rsidR="006C7EC0" w:rsidRPr="003C2A82" w:rsidRDefault="006C7EC0" w:rsidP="00FB2AF6">
            <w:pPr>
              <w:spacing w:after="0" w:line="240" w:lineRule="auto"/>
              <w:jc w:val="right"/>
              <w:rPr>
                <w:rFonts w:eastAsia="Times New Roman"/>
                <w:color w:val="000000"/>
                <w:sz w:val="20"/>
                <w:szCs w:val="20"/>
                <w:lang w:eastAsia="cs-CZ"/>
              </w:rPr>
            </w:pPr>
            <w:r w:rsidRPr="003C2A82">
              <w:rPr>
                <w:rFonts w:eastAsia="Times New Roman"/>
                <w:color w:val="000000"/>
                <w:sz w:val="20"/>
                <w:szCs w:val="20"/>
                <w:lang w:eastAsia="cs-CZ"/>
              </w:rPr>
              <w:t>27. 2. 2014</w:t>
            </w:r>
          </w:p>
        </w:tc>
        <w:tc>
          <w:tcPr>
            <w:tcW w:w="2490" w:type="dxa"/>
            <w:shd w:val="clear" w:color="auto" w:fill="auto"/>
          </w:tcPr>
          <w:p w:rsidR="006C7EC0" w:rsidRPr="003C2A82" w:rsidRDefault="006C7EC0" w:rsidP="00FB2AF6">
            <w:pPr>
              <w:spacing w:after="0" w:line="240" w:lineRule="auto"/>
              <w:rPr>
                <w:rFonts w:eastAsia="Times New Roman"/>
                <w:color w:val="000000"/>
                <w:sz w:val="20"/>
                <w:szCs w:val="20"/>
                <w:lang w:eastAsia="cs-CZ"/>
              </w:rPr>
            </w:pPr>
          </w:p>
        </w:tc>
        <w:tc>
          <w:tcPr>
            <w:tcW w:w="2256" w:type="dxa"/>
            <w:shd w:val="clear" w:color="auto" w:fill="auto"/>
          </w:tcPr>
          <w:p w:rsidR="006C7EC0" w:rsidRPr="003C2A82" w:rsidRDefault="006C7EC0" w:rsidP="00FB2AF6">
            <w:pPr>
              <w:spacing w:after="0" w:line="240" w:lineRule="auto"/>
              <w:rPr>
                <w:rFonts w:eastAsia="Times New Roman"/>
                <w:color w:val="000000"/>
                <w:sz w:val="20"/>
                <w:szCs w:val="20"/>
                <w:lang w:eastAsia="cs-CZ"/>
              </w:rPr>
            </w:pPr>
          </w:p>
        </w:tc>
      </w:tr>
      <w:tr w:rsidR="006C7EC0" w:rsidRPr="003C2A82" w:rsidTr="00FB2AF6">
        <w:trPr>
          <w:jc w:val="center"/>
        </w:trPr>
        <w:tc>
          <w:tcPr>
            <w:tcW w:w="1824" w:type="dxa"/>
            <w:shd w:val="clear" w:color="auto" w:fill="auto"/>
          </w:tcPr>
          <w:p w:rsidR="006C7EC0" w:rsidRPr="003C2A82" w:rsidRDefault="006C7EC0"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MAS Posázaví</w:t>
            </w:r>
          </w:p>
        </w:tc>
        <w:tc>
          <w:tcPr>
            <w:tcW w:w="1413" w:type="dxa"/>
            <w:shd w:val="clear" w:color="auto" w:fill="auto"/>
          </w:tcPr>
          <w:p w:rsidR="006C7EC0" w:rsidRPr="003C2A82" w:rsidRDefault="006C7EC0"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Benešov</w:t>
            </w:r>
          </w:p>
        </w:tc>
        <w:tc>
          <w:tcPr>
            <w:tcW w:w="838" w:type="dxa"/>
            <w:shd w:val="clear" w:color="auto" w:fill="auto"/>
          </w:tcPr>
          <w:p w:rsidR="006C7EC0" w:rsidRPr="003C2A82" w:rsidRDefault="006C7EC0"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11</w:t>
            </w:r>
          </w:p>
        </w:tc>
        <w:tc>
          <w:tcPr>
            <w:tcW w:w="1240" w:type="dxa"/>
            <w:shd w:val="clear" w:color="auto" w:fill="auto"/>
          </w:tcPr>
          <w:p w:rsidR="006C7EC0" w:rsidRPr="003C2A82" w:rsidRDefault="006C7EC0" w:rsidP="00FB2AF6">
            <w:pPr>
              <w:spacing w:after="0" w:line="240" w:lineRule="auto"/>
              <w:jc w:val="right"/>
              <w:rPr>
                <w:rFonts w:eastAsia="Times New Roman"/>
                <w:color w:val="000000"/>
                <w:sz w:val="20"/>
                <w:szCs w:val="20"/>
                <w:lang w:eastAsia="cs-CZ"/>
              </w:rPr>
            </w:pPr>
            <w:r w:rsidRPr="003C2A82">
              <w:rPr>
                <w:rFonts w:eastAsia="Times New Roman"/>
                <w:color w:val="000000"/>
                <w:sz w:val="20"/>
                <w:szCs w:val="20"/>
                <w:lang w:eastAsia="cs-CZ"/>
              </w:rPr>
              <w:t>04. 03. 2014</w:t>
            </w:r>
          </w:p>
        </w:tc>
        <w:tc>
          <w:tcPr>
            <w:tcW w:w="2490" w:type="dxa"/>
            <w:shd w:val="clear" w:color="auto" w:fill="auto"/>
          </w:tcPr>
          <w:p w:rsidR="006C7EC0" w:rsidRPr="003C2A82" w:rsidRDefault="006C7EC0"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zpracování strategie</w:t>
            </w:r>
          </w:p>
        </w:tc>
        <w:tc>
          <w:tcPr>
            <w:tcW w:w="2256" w:type="dxa"/>
            <w:shd w:val="clear" w:color="auto" w:fill="auto"/>
          </w:tcPr>
          <w:p w:rsidR="006C7EC0" w:rsidRPr="003C2A82" w:rsidRDefault="006C7EC0"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definice dalšího postupu</w:t>
            </w:r>
          </w:p>
        </w:tc>
      </w:tr>
      <w:tr w:rsidR="006C7EC0" w:rsidRPr="003C2A82" w:rsidTr="00FB2AF6">
        <w:trPr>
          <w:jc w:val="center"/>
        </w:trPr>
        <w:tc>
          <w:tcPr>
            <w:tcW w:w="1824" w:type="dxa"/>
            <w:shd w:val="clear" w:color="auto" w:fill="auto"/>
          </w:tcPr>
          <w:p w:rsidR="006C7EC0" w:rsidRPr="003C2A82" w:rsidRDefault="006C7EC0"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CHOPOS</w:t>
            </w:r>
          </w:p>
        </w:tc>
        <w:tc>
          <w:tcPr>
            <w:tcW w:w="1413" w:type="dxa"/>
            <w:shd w:val="clear" w:color="auto" w:fill="auto"/>
          </w:tcPr>
          <w:p w:rsidR="006C7EC0" w:rsidRPr="003C2A82" w:rsidRDefault="006C7EC0"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Kozmice</w:t>
            </w:r>
          </w:p>
        </w:tc>
        <w:tc>
          <w:tcPr>
            <w:tcW w:w="838" w:type="dxa"/>
            <w:shd w:val="clear" w:color="auto" w:fill="auto"/>
          </w:tcPr>
          <w:p w:rsidR="006C7EC0" w:rsidRPr="003C2A82" w:rsidRDefault="006C7EC0"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15</w:t>
            </w:r>
          </w:p>
        </w:tc>
        <w:tc>
          <w:tcPr>
            <w:tcW w:w="1240" w:type="dxa"/>
            <w:shd w:val="clear" w:color="auto" w:fill="auto"/>
          </w:tcPr>
          <w:p w:rsidR="006C7EC0" w:rsidRPr="003C2A82" w:rsidRDefault="006C7EC0" w:rsidP="00FB2AF6">
            <w:pPr>
              <w:spacing w:after="0" w:line="240" w:lineRule="auto"/>
              <w:jc w:val="right"/>
              <w:rPr>
                <w:rFonts w:eastAsia="Times New Roman"/>
                <w:color w:val="000000"/>
                <w:sz w:val="20"/>
                <w:szCs w:val="20"/>
                <w:lang w:eastAsia="cs-CZ"/>
              </w:rPr>
            </w:pPr>
            <w:r w:rsidRPr="003C2A82">
              <w:rPr>
                <w:rFonts w:eastAsia="Times New Roman"/>
                <w:color w:val="000000"/>
                <w:sz w:val="20"/>
                <w:szCs w:val="20"/>
                <w:lang w:eastAsia="cs-CZ"/>
              </w:rPr>
              <w:t>25. 03. 2014</w:t>
            </w:r>
          </w:p>
        </w:tc>
        <w:tc>
          <w:tcPr>
            <w:tcW w:w="2490" w:type="dxa"/>
            <w:shd w:val="clear" w:color="auto" w:fill="auto"/>
          </w:tcPr>
          <w:p w:rsidR="006C7EC0" w:rsidRPr="003C2A82" w:rsidRDefault="006C7EC0"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obecná spolupráce, běžná činnost svazku obcí</w:t>
            </w:r>
          </w:p>
        </w:tc>
        <w:tc>
          <w:tcPr>
            <w:tcW w:w="2256" w:type="dxa"/>
            <w:shd w:val="clear" w:color="auto" w:fill="auto"/>
          </w:tcPr>
          <w:p w:rsidR="006C7EC0" w:rsidRPr="003C2A82" w:rsidRDefault="006C7EC0"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bez konkrétních závěrů směřujících k MOS</w:t>
            </w:r>
          </w:p>
        </w:tc>
      </w:tr>
      <w:tr w:rsidR="00742A33" w:rsidRPr="003C2A82" w:rsidTr="00FB2AF6">
        <w:trPr>
          <w:jc w:val="center"/>
        </w:trPr>
        <w:tc>
          <w:tcPr>
            <w:tcW w:w="1824" w:type="dxa"/>
            <w:shd w:val="clear" w:color="auto" w:fill="auto"/>
            <w:hideMark/>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PORADA starostů ORP Benešov</w:t>
            </w:r>
          </w:p>
        </w:tc>
        <w:tc>
          <w:tcPr>
            <w:tcW w:w="1413" w:type="dxa"/>
            <w:shd w:val="clear" w:color="auto" w:fill="auto"/>
            <w:hideMark/>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Benešov</w:t>
            </w:r>
          </w:p>
        </w:tc>
        <w:tc>
          <w:tcPr>
            <w:tcW w:w="838" w:type="dxa"/>
            <w:shd w:val="clear" w:color="auto" w:fill="auto"/>
            <w:hideMark/>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23</w:t>
            </w:r>
          </w:p>
        </w:tc>
        <w:tc>
          <w:tcPr>
            <w:tcW w:w="1240" w:type="dxa"/>
            <w:shd w:val="clear" w:color="auto" w:fill="auto"/>
            <w:hideMark/>
          </w:tcPr>
          <w:p w:rsidR="00742A33" w:rsidRPr="003C2A82" w:rsidRDefault="00742A33" w:rsidP="00FB2AF6">
            <w:pPr>
              <w:spacing w:after="0" w:line="240" w:lineRule="auto"/>
              <w:jc w:val="right"/>
              <w:rPr>
                <w:rFonts w:eastAsia="Times New Roman"/>
                <w:color w:val="000000"/>
                <w:sz w:val="20"/>
                <w:szCs w:val="20"/>
                <w:lang w:eastAsia="cs-CZ"/>
              </w:rPr>
            </w:pPr>
            <w:r w:rsidRPr="003C2A82">
              <w:rPr>
                <w:rFonts w:eastAsia="Times New Roman"/>
                <w:color w:val="000000"/>
                <w:sz w:val="20"/>
                <w:szCs w:val="20"/>
                <w:lang w:eastAsia="cs-CZ"/>
              </w:rPr>
              <w:t>17. 04. 2014</w:t>
            </w:r>
          </w:p>
        </w:tc>
        <w:tc>
          <w:tcPr>
            <w:tcW w:w="2490" w:type="dxa"/>
            <w:shd w:val="clear" w:color="auto" w:fill="auto"/>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krizové řízení, HZS a SDH</w:t>
            </w:r>
          </w:p>
        </w:tc>
        <w:tc>
          <w:tcPr>
            <w:tcW w:w="2256" w:type="dxa"/>
            <w:shd w:val="clear" w:color="auto" w:fill="auto"/>
          </w:tcPr>
          <w:p w:rsidR="00742A33" w:rsidRPr="003C2A82" w:rsidRDefault="00742A33" w:rsidP="00FB2AF6">
            <w:pPr>
              <w:spacing w:after="0" w:line="240" w:lineRule="auto"/>
              <w:rPr>
                <w:rFonts w:eastAsia="Times New Roman"/>
                <w:color w:val="000000"/>
                <w:sz w:val="20"/>
                <w:szCs w:val="20"/>
                <w:lang w:eastAsia="cs-CZ"/>
              </w:rPr>
            </w:pPr>
          </w:p>
        </w:tc>
      </w:tr>
      <w:tr w:rsidR="00742A33" w:rsidRPr="003C2A82" w:rsidTr="00FB2AF6">
        <w:trPr>
          <w:jc w:val="center"/>
        </w:trPr>
        <w:tc>
          <w:tcPr>
            <w:tcW w:w="1824" w:type="dxa"/>
            <w:shd w:val="clear" w:color="auto" w:fill="auto"/>
            <w:hideMark/>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CHOPOS</w:t>
            </w:r>
          </w:p>
        </w:tc>
        <w:tc>
          <w:tcPr>
            <w:tcW w:w="1413" w:type="dxa"/>
            <w:shd w:val="clear" w:color="auto" w:fill="auto"/>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Drahňovice</w:t>
            </w:r>
          </w:p>
        </w:tc>
        <w:tc>
          <w:tcPr>
            <w:tcW w:w="838" w:type="dxa"/>
            <w:shd w:val="clear" w:color="auto" w:fill="auto"/>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26</w:t>
            </w:r>
          </w:p>
        </w:tc>
        <w:tc>
          <w:tcPr>
            <w:tcW w:w="1240" w:type="dxa"/>
            <w:shd w:val="clear" w:color="auto" w:fill="auto"/>
          </w:tcPr>
          <w:p w:rsidR="00742A33" w:rsidRPr="003C2A82" w:rsidRDefault="00742A33" w:rsidP="00FB2AF6">
            <w:pPr>
              <w:spacing w:after="0" w:line="240" w:lineRule="auto"/>
              <w:jc w:val="right"/>
              <w:rPr>
                <w:rFonts w:eastAsia="Times New Roman"/>
                <w:color w:val="000000"/>
                <w:sz w:val="20"/>
                <w:szCs w:val="20"/>
                <w:lang w:eastAsia="cs-CZ"/>
              </w:rPr>
            </w:pPr>
            <w:r w:rsidRPr="003C2A82">
              <w:rPr>
                <w:rFonts w:eastAsia="Times New Roman"/>
                <w:color w:val="000000"/>
                <w:sz w:val="20"/>
                <w:szCs w:val="20"/>
                <w:lang w:eastAsia="cs-CZ"/>
              </w:rPr>
              <w:t>29. 04. 2014</w:t>
            </w:r>
          </w:p>
        </w:tc>
        <w:tc>
          <w:tcPr>
            <w:tcW w:w="2490" w:type="dxa"/>
            <w:shd w:val="clear" w:color="auto" w:fill="auto"/>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projekty spolupráce obcí</w:t>
            </w:r>
          </w:p>
        </w:tc>
        <w:tc>
          <w:tcPr>
            <w:tcW w:w="2256" w:type="dxa"/>
            <w:shd w:val="clear" w:color="auto" w:fill="auto"/>
          </w:tcPr>
          <w:p w:rsidR="00742A33" w:rsidRPr="003C2A82" w:rsidRDefault="00742A33" w:rsidP="00FB2AF6">
            <w:pPr>
              <w:spacing w:after="0" w:line="240" w:lineRule="auto"/>
              <w:rPr>
                <w:rFonts w:eastAsia="Times New Roman"/>
                <w:color w:val="000000"/>
                <w:sz w:val="20"/>
                <w:szCs w:val="20"/>
                <w:lang w:eastAsia="cs-CZ"/>
              </w:rPr>
            </w:pPr>
          </w:p>
        </w:tc>
      </w:tr>
      <w:tr w:rsidR="00742A33" w:rsidRPr="003C2A82" w:rsidTr="00FB2AF6">
        <w:trPr>
          <w:jc w:val="center"/>
        </w:trPr>
        <w:tc>
          <w:tcPr>
            <w:tcW w:w="1824" w:type="dxa"/>
            <w:shd w:val="clear" w:color="auto" w:fill="auto"/>
            <w:hideMark/>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CHOPOS</w:t>
            </w:r>
          </w:p>
        </w:tc>
        <w:tc>
          <w:tcPr>
            <w:tcW w:w="1413" w:type="dxa"/>
            <w:shd w:val="clear" w:color="auto" w:fill="auto"/>
            <w:hideMark/>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rozhledna Špulka</w:t>
            </w:r>
          </w:p>
        </w:tc>
        <w:tc>
          <w:tcPr>
            <w:tcW w:w="838" w:type="dxa"/>
            <w:shd w:val="clear" w:color="auto" w:fill="auto"/>
            <w:hideMark/>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13</w:t>
            </w:r>
          </w:p>
        </w:tc>
        <w:tc>
          <w:tcPr>
            <w:tcW w:w="1240" w:type="dxa"/>
            <w:shd w:val="clear" w:color="auto" w:fill="auto"/>
            <w:hideMark/>
          </w:tcPr>
          <w:p w:rsidR="00742A33" w:rsidRPr="003C2A82" w:rsidRDefault="00742A33" w:rsidP="00FB2AF6">
            <w:pPr>
              <w:spacing w:after="0" w:line="240" w:lineRule="auto"/>
              <w:jc w:val="right"/>
              <w:rPr>
                <w:rFonts w:eastAsia="Times New Roman"/>
                <w:color w:val="000000"/>
                <w:sz w:val="20"/>
                <w:szCs w:val="20"/>
                <w:lang w:eastAsia="cs-CZ"/>
              </w:rPr>
            </w:pPr>
            <w:r w:rsidRPr="003C2A82">
              <w:rPr>
                <w:rFonts w:eastAsia="Times New Roman"/>
                <w:color w:val="000000"/>
                <w:sz w:val="20"/>
                <w:szCs w:val="20"/>
                <w:lang w:eastAsia="cs-CZ"/>
              </w:rPr>
              <w:t>27. 05. 2014</w:t>
            </w:r>
          </w:p>
        </w:tc>
        <w:tc>
          <w:tcPr>
            <w:tcW w:w="2490" w:type="dxa"/>
            <w:shd w:val="clear" w:color="auto" w:fill="auto"/>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spolupráce obcí v oblasti cestovního ruchu</w:t>
            </w:r>
          </w:p>
        </w:tc>
        <w:tc>
          <w:tcPr>
            <w:tcW w:w="2256" w:type="dxa"/>
            <w:shd w:val="clear" w:color="auto" w:fill="auto"/>
          </w:tcPr>
          <w:p w:rsidR="00742A33" w:rsidRPr="003C2A82" w:rsidRDefault="00742A33" w:rsidP="00FB2AF6">
            <w:pPr>
              <w:spacing w:after="0" w:line="240" w:lineRule="auto"/>
              <w:rPr>
                <w:rFonts w:eastAsia="Times New Roman"/>
                <w:color w:val="000000"/>
                <w:sz w:val="20"/>
                <w:szCs w:val="20"/>
                <w:lang w:eastAsia="cs-CZ"/>
              </w:rPr>
            </w:pPr>
          </w:p>
        </w:tc>
      </w:tr>
      <w:tr w:rsidR="00742A33" w:rsidRPr="003C2A82" w:rsidTr="00FB2AF6">
        <w:trPr>
          <w:jc w:val="center"/>
        </w:trPr>
        <w:tc>
          <w:tcPr>
            <w:tcW w:w="1824" w:type="dxa"/>
            <w:shd w:val="clear" w:color="auto" w:fill="auto"/>
            <w:hideMark/>
          </w:tcPr>
          <w:p w:rsidR="00742A33" w:rsidRPr="003C2A82" w:rsidRDefault="00B6020E" w:rsidP="00FB2AF6">
            <w:pPr>
              <w:spacing w:after="0" w:line="240" w:lineRule="auto"/>
              <w:rPr>
                <w:rFonts w:eastAsia="Times New Roman"/>
                <w:color w:val="000000"/>
                <w:sz w:val="20"/>
                <w:szCs w:val="20"/>
                <w:lang w:eastAsia="cs-CZ"/>
              </w:rPr>
            </w:pPr>
            <w:r>
              <w:rPr>
                <w:rFonts w:eastAsia="Times New Roman"/>
                <w:color w:val="000000"/>
                <w:sz w:val="20"/>
                <w:szCs w:val="20"/>
                <w:lang w:eastAsia="cs-CZ"/>
              </w:rPr>
              <w:t>CHOPOS</w:t>
            </w:r>
          </w:p>
        </w:tc>
        <w:tc>
          <w:tcPr>
            <w:tcW w:w="1413" w:type="dxa"/>
            <w:shd w:val="clear" w:color="auto" w:fill="auto"/>
            <w:hideMark/>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Bílkovice</w:t>
            </w:r>
          </w:p>
        </w:tc>
        <w:tc>
          <w:tcPr>
            <w:tcW w:w="838" w:type="dxa"/>
            <w:shd w:val="clear" w:color="auto" w:fill="auto"/>
            <w:hideMark/>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16</w:t>
            </w:r>
          </w:p>
        </w:tc>
        <w:tc>
          <w:tcPr>
            <w:tcW w:w="1240" w:type="dxa"/>
            <w:shd w:val="clear" w:color="auto" w:fill="auto"/>
            <w:hideMark/>
          </w:tcPr>
          <w:p w:rsidR="00742A33" w:rsidRPr="003C2A82" w:rsidRDefault="00742A33" w:rsidP="00FB2AF6">
            <w:pPr>
              <w:spacing w:after="0" w:line="240" w:lineRule="auto"/>
              <w:jc w:val="right"/>
              <w:rPr>
                <w:rFonts w:eastAsia="Times New Roman"/>
                <w:color w:val="000000"/>
                <w:sz w:val="20"/>
                <w:szCs w:val="20"/>
                <w:lang w:eastAsia="cs-CZ"/>
              </w:rPr>
            </w:pPr>
            <w:r w:rsidRPr="003C2A82">
              <w:rPr>
                <w:rFonts w:eastAsia="Times New Roman"/>
                <w:color w:val="000000"/>
                <w:sz w:val="20"/>
                <w:szCs w:val="20"/>
                <w:lang w:eastAsia="cs-CZ"/>
              </w:rPr>
              <w:t>20. 06. 2014</w:t>
            </w:r>
          </w:p>
        </w:tc>
        <w:tc>
          <w:tcPr>
            <w:tcW w:w="2490" w:type="dxa"/>
            <w:shd w:val="clear" w:color="auto" w:fill="auto"/>
          </w:tcPr>
          <w:p w:rsidR="00742A33" w:rsidRPr="003C2A82" w:rsidRDefault="00742A33" w:rsidP="00FB2AF6">
            <w:pPr>
              <w:spacing w:after="0" w:line="240" w:lineRule="auto"/>
              <w:rPr>
                <w:rFonts w:eastAsia="Times New Roman"/>
                <w:color w:val="000000"/>
                <w:sz w:val="20"/>
                <w:szCs w:val="20"/>
                <w:lang w:eastAsia="cs-CZ"/>
              </w:rPr>
            </w:pPr>
          </w:p>
        </w:tc>
        <w:tc>
          <w:tcPr>
            <w:tcW w:w="2256" w:type="dxa"/>
            <w:shd w:val="clear" w:color="auto" w:fill="auto"/>
          </w:tcPr>
          <w:p w:rsidR="00742A33" w:rsidRPr="003C2A82" w:rsidRDefault="00742A33" w:rsidP="00FB2AF6">
            <w:pPr>
              <w:spacing w:after="0" w:line="240" w:lineRule="auto"/>
              <w:rPr>
                <w:rFonts w:eastAsia="Times New Roman"/>
                <w:color w:val="000000"/>
                <w:sz w:val="20"/>
                <w:szCs w:val="20"/>
                <w:lang w:eastAsia="cs-CZ"/>
              </w:rPr>
            </w:pPr>
          </w:p>
        </w:tc>
      </w:tr>
      <w:tr w:rsidR="00742A33" w:rsidRPr="003C2A82" w:rsidTr="00FB2AF6">
        <w:trPr>
          <w:jc w:val="center"/>
        </w:trPr>
        <w:tc>
          <w:tcPr>
            <w:tcW w:w="1824" w:type="dxa"/>
            <w:shd w:val="clear" w:color="auto" w:fill="auto"/>
            <w:hideMark/>
          </w:tcPr>
          <w:p w:rsidR="00742A33" w:rsidRPr="003C2A82" w:rsidRDefault="00B6020E" w:rsidP="00FB2AF6">
            <w:pPr>
              <w:spacing w:after="0" w:line="240" w:lineRule="auto"/>
              <w:rPr>
                <w:rFonts w:eastAsia="Times New Roman"/>
                <w:color w:val="000000"/>
                <w:sz w:val="20"/>
                <w:szCs w:val="20"/>
                <w:lang w:eastAsia="cs-CZ"/>
              </w:rPr>
            </w:pPr>
            <w:r>
              <w:rPr>
                <w:rFonts w:eastAsia="Times New Roman"/>
                <w:color w:val="000000"/>
                <w:sz w:val="20"/>
                <w:szCs w:val="20"/>
                <w:lang w:eastAsia="cs-CZ"/>
              </w:rPr>
              <w:t>CHOPOS</w:t>
            </w:r>
          </w:p>
        </w:tc>
        <w:tc>
          <w:tcPr>
            <w:tcW w:w="1413" w:type="dxa"/>
            <w:shd w:val="clear" w:color="auto" w:fill="auto"/>
            <w:hideMark/>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Tatouňovice</w:t>
            </w:r>
          </w:p>
        </w:tc>
        <w:tc>
          <w:tcPr>
            <w:tcW w:w="838" w:type="dxa"/>
            <w:shd w:val="clear" w:color="auto" w:fill="auto"/>
            <w:hideMark/>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13</w:t>
            </w:r>
          </w:p>
        </w:tc>
        <w:tc>
          <w:tcPr>
            <w:tcW w:w="1240" w:type="dxa"/>
            <w:shd w:val="clear" w:color="auto" w:fill="auto"/>
            <w:hideMark/>
          </w:tcPr>
          <w:p w:rsidR="00742A33" w:rsidRPr="003C2A82" w:rsidRDefault="00742A33" w:rsidP="00FB2AF6">
            <w:pPr>
              <w:spacing w:after="0" w:line="240" w:lineRule="auto"/>
              <w:jc w:val="right"/>
              <w:rPr>
                <w:rFonts w:eastAsia="Times New Roman"/>
                <w:color w:val="000000"/>
                <w:sz w:val="20"/>
                <w:szCs w:val="20"/>
                <w:lang w:eastAsia="cs-CZ"/>
              </w:rPr>
            </w:pPr>
            <w:r w:rsidRPr="003C2A82">
              <w:rPr>
                <w:rFonts w:eastAsia="Times New Roman"/>
                <w:color w:val="000000"/>
                <w:sz w:val="20"/>
                <w:szCs w:val="20"/>
                <w:lang w:eastAsia="cs-CZ"/>
              </w:rPr>
              <w:t>26. 08. 2014</w:t>
            </w:r>
          </w:p>
        </w:tc>
        <w:tc>
          <w:tcPr>
            <w:tcW w:w="2490" w:type="dxa"/>
            <w:shd w:val="clear" w:color="auto" w:fill="auto"/>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obecná spolupráce, možnost transformace mikroregionu</w:t>
            </w:r>
          </w:p>
        </w:tc>
        <w:tc>
          <w:tcPr>
            <w:tcW w:w="2256" w:type="dxa"/>
            <w:shd w:val="clear" w:color="auto" w:fill="auto"/>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transformace ze strany obcí odmítnuta</w:t>
            </w:r>
          </w:p>
        </w:tc>
      </w:tr>
      <w:tr w:rsidR="00742A33" w:rsidRPr="003C2A82" w:rsidTr="00FB2AF6">
        <w:trPr>
          <w:jc w:val="center"/>
        </w:trPr>
        <w:tc>
          <w:tcPr>
            <w:tcW w:w="1824" w:type="dxa"/>
            <w:shd w:val="clear" w:color="auto" w:fill="auto"/>
            <w:hideMark/>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Malé Posázaví</w:t>
            </w:r>
          </w:p>
        </w:tc>
        <w:tc>
          <w:tcPr>
            <w:tcW w:w="1413" w:type="dxa"/>
            <w:shd w:val="clear" w:color="auto" w:fill="auto"/>
            <w:hideMark/>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Čerčany</w:t>
            </w:r>
          </w:p>
        </w:tc>
        <w:tc>
          <w:tcPr>
            <w:tcW w:w="838" w:type="dxa"/>
            <w:shd w:val="clear" w:color="auto" w:fill="auto"/>
          </w:tcPr>
          <w:p w:rsidR="00742A33" w:rsidRPr="003C2A82" w:rsidRDefault="00742A33" w:rsidP="00FB2AF6">
            <w:pPr>
              <w:spacing w:after="0" w:line="240" w:lineRule="auto"/>
              <w:rPr>
                <w:rFonts w:eastAsia="Times New Roman"/>
                <w:color w:val="000000"/>
                <w:sz w:val="20"/>
                <w:szCs w:val="20"/>
                <w:lang w:eastAsia="cs-CZ"/>
              </w:rPr>
            </w:pPr>
          </w:p>
        </w:tc>
        <w:tc>
          <w:tcPr>
            <w:tcW w:w="1240" w:type="dxa"/>
            <w:shd w:val="clear" w:color="auto" w:fill="auto"/>
          </w:tcPr>
          <w:p w:rsidR="00742A33" w:rsidRPr="003C2A82" w:rsidRDefault="00742A33" w:rsidP="00FB2AF6">
            <w:pPr>
              <w:spacing w:after="0" w:line="240" w:lineRule="auto"/>
              <w:jc w:val="right"/>
              <w:rPr>
                <w:rFonts w:eastAsia="Times New Roman"/>
                <w:color w:val="000000"/>
                <w:sz w:val="20"/>
                <w:szCs w:val="20"/>
                <w:lang w:eastAsia="cs-CZ"/>
              </w:rPr>
            </w:pPr>
            <w:r w:rsidRPr="003C2A82">
              <w:rPr>
                <w:rFonts w:eastAsia="Times New Roman"/>
                <w:color w:val="000000"/>
                <w:sz w:val="20"/>
                <w:szCs w:val="20"/>
                <w:lang w:eastAsia="cs-CZ"/>
              </w:rPr>
              <w:t>23. 09. 2014</w:t>
            </w:r>
          </w:p>
        </w:tc>
        <w:tc>
          <w:tcPr>
            <w:tcW w:w="2490" w:type="dxa"/>
            <w:shd w:val="clear" w:color="auto" w:fill="auto"/>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institucionalizace meziobecní spolupráce</w:t>
            </w:r>
          </w:p>
        </w:tc>
        <w:tc>
          <w:tcPr>
            <w:tcW w:w="2256" w:type="dxa"/>
            <w:shd w:val="clear" w:color="auto" w:fill="auto"/>
          </w:tcPr>
          <w:p w:rsidR="00742A33" w:rsidRPr="003C2A82" w:rsidRDefault="00820F1C"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o</w:t>
            </w:r>
            <w:r w:rsidR="00742A33" w:rsidRPr="003C2A82">
              <w:rPr>
                <w:rFonts w:eastAsia="Times New Roman"/>
                <w:color w:val="000000"/>
                <w:sz w:val="20"/>
                <w:szCs w:val="20"/>
                <w:lang w:eastAsia="cs-CZ"/>
              </w:rPr>
              <w:t>bce nepodporují novou formu institucionalizace meziobecní spolupráce</w:t>
            </w:r>
          </w:p>
        </w:tc>
      </w:tr>
      <w:tr w:rsidR="00742A33" w:rsidRPr="003C2A82" w:rsidTr="00FB2AF6">
        <w:trPr>
          <w:jc w:val="center"/>
        </w:trPr>
        <w:tc>
          <w:tcPr>
            <w:tcW w:w="1824" w:type="dxa"/>
            <w:shd w:val="clear" w:color="auto" w:fill="auto"/>
            <w:hideMark/>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CHOPOS</w:t>
            </w:r>
          </w:p>
        </w:tc>
        <w:tc>
          <w:tcPr>
            <w:tcW w:w="1413" w:type="dxa"/>
            <w:shd w:val="clear" w:color="auto" w:fill="auto"/>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Všechlapy</w:t>
            </w:r>
          </w:p>
        </w:tc>
        <w:tc>
          <w:tcPr>
            <w:tcW w:w="838" w:type="dxa"/>
            <w:shd w:val="clear" w:color="auto" w:fill="auto"/>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13</w:t>
            </w:r>
          </w:p>
        </w:tc>
        <w:tc>
          <w:tcPr>
            <w:tcW w:w="1240" w:type="dxa"/>
            <w:shd w:val="clear" w:color="auto" w:fill="auto"/>
          </w:tcPr>
          <w:p w:rsidR="00742A33" w:rsidRPr="003C2A82" w:rsidRDefault="00742A33" w:rsidP="00FB2AF6">
            <w:pPr>
              <w:spacing w:after="0" w:line="240" w:lineRule="auto"/>
              <w:jc w:val="right"/>
              <w:rPr>
                <w:rFonts w:eastAsia="Times New Roman"/>
                <w:color w:val="000000"/>
                <w:sz w:val="20"/>
                <w:szCs w:val="20"/>
                <w:lang w:eastAsia="cs-CZ"/>
              </w:rPr>
            </w:pPr>
            <w:r w:rsidRPr="003C2A82">
              <w:rPr>
                <w:rFonts w:eastAsia="Times New Roman"/>
                <w:color w:val="000000"/>
                <w:sz w:val="20"/>
                <w:szCs w:val="20"/>
                <w:lang w:eastAsia="cs-CZ"/>
              </w:rPr>
              <w:t>30. 09. 2014</w:t>
            </w:r>
          </w:p>
        </w:tc>
        <w:tc>
          <w:tcPr>
            <w:tcW w:w="2490" w:type="dxa"/>
            <w:shd w:val="clear" w:color="auto" w:fill="auto"/>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institucionalizace meziobecní spolupráce</w:t>
            </w:r>
          </w:p>
        </w:tc>
        <w:tc>
          <w:tcPr>
            <w:tcW w:w="2256" w:type="dxa"/>
            <w:shd w:val="clear" w:color="auto" w:fill="auto"/>
          </w:tcPr>
          <w:p w:rsidR="00742A33" w:rsidRPr="003C2A82" w:rsidRDefault="00820F1C"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o</w:t>
            </w:r>
            <w:r w:rsidR="00742A33" w:rsidRPr="003C2A82">
              <w:rPr>
                <w:rFonts w:eastAsia="Times New Roman"/>
                <w:color w:val="000000"/>
                <w:sz w:val="20"/>
                <w:szCs w:val="20"/>
                <w:lang w:eastAsia="cs-CZ"/>
              </w:rPr>
              <w:t>bce nepodporují novou formu institucionalizace meziobecní spolupráce</w:t>
            </w:r>
          </w:p>
        </w:tc>
      </w:tr>
      <w:tr w:rsidR="00742A33" w:rsidRPr="003C2A82" w:rsidTr="00FB2AF6">
        <w:trPr>
          <w:jc w:val="center"/>
        </w:trPr>
        <w:tc>
          <w:tcPr>
            <w:tcW w:w="1824" w:type="dxa"/>
            <w:shd w:val="clear" w:color="auto" w:fill="auto"/>
            <w:hideMark/>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CHOPOS</w:t>
            </w:r>
          </w:p>
        </w:tc>
        <w:tc>
          <w:tcPr>
            <w:tcW w:w="1413" w:type="dxa"/>
            <w:shd w:val="clear" w:color="auto" w:fill="auto"/>
            <w:hideMark/>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Teplýšovice</w:t>
            </w:r>
          </w:p>
        </w:tc>
        <w:tc>
          <w:tcPr>
            <w:tcW w:w="838" w:type="dxa"/>
            <w:shd w:val="clear" w:color="auto" w:fill="auto"/>
            <w:hideMark/>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20</w:t>
            </w:r>
          </w:p>
        </w:tc>
        <w:tc>
          <w:tcPr>
            <w:tcW w:w="1240" w:type="dxa"/>
            <w:shd w:val="clear" w:color="auto" w:fill="auto"/>
            <w:hideMark/>
          </w:tcPr>
          <w:p w:rsidR="00742A33" w:rsidRPr="003C2A82" w:rsidRDefault="00742A33" w:rsidP="00FB2AF6">
            <w:pPr>
              <w:spacing w:after="0" w:line="240" w:lineRule="auto"/>
              <w:jc w:val="right"/>
              <w:rPr>
                <w:rFonts w:eastAsia="Times New Roman"/>
                <w:color w:val="000000"/>
                <w:sz w:val="20"/>
                <w:szCs w:val="20"/>
                <w:lang w:eastAsia="cs-CZ"/>
              </w:rPr>
            </w:pPr>
            <w:r w:rsidRPr="003C2A82">
              <w:rPr>
                <w:rFonts w:eastAsia="Times New Roman"/>
                <w:color w:val="000000"/>
                <w:sz w:val="20"/>
                <w:szCs w:val="20"/>
                <w:lang w:eastAsia="cs-CZ"/>
              </w:rPr>
              <w:t>12. 11. 2014</w:t>
            </w:r>
          </w:p>
        </w:tc>
        <w:tc>
          <w:tcPr>
            <w:tcW w:w="2490" w:type="dxa"/>
            <w:shd w:val="clear" w:color="auto" w:fill="auto"/>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 xml:space="preserve">varianty meziobecní spolupráce s ohledem na </w:t>
            </w:r>
            <w:r w:rsidR="001657D6" w:rsidRPr="003C2A82">
              <w:rPr>
                <w:rFonts w:eastAsia="Times New Roman"/>
                <w:color w:val="000000"/>
                <w:sz w:val="20"/>
                <w:szCs w:val="20"/>
                <w:lang w:eastAsia="cs-CZ"/>
              </w:rPr>
              <w:t>zjišťování</w:t>
            </w:r>
            <w:r w:rsidRPr="003C2A82">
              <w:rPr>
                <w:rFonts w:eastAsia="Times New Roman"/>
                <w:color w:val="000000"/>
                <w:sz w:val="20"/>
                <w:szCs w:val="20"/>
                <w:lang w:eastAsia="cs-CZ"/>
              </w:rPr>
              <w:t xml:space="preserve"> - "dotazník"</w:t>
            </w:r>
          </w:p>
        </w:tc>
        <w:tc>
          <w:tcPr>
            <w:tcW w:w="2256" w:type="dxa"/>
            <w:shd w:val="clear" w:color="auto" w:fill="auto"/>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preferovanou variantou je využití současných DSO</w:t>
            </w:r>
          </w:p>
        </w:tc>
      </w:tr>
      <w:tr w:rsidR="00742A33" w:rsidRPr="003C2A82" w:rsidTr="00FB2AF6">
        <w:trPr>
          <w:jc w:val="center"/>
        </w:trPr>
        <w:tc>
          <w:tcPr>
            <w:tcW w:w="1824" w:type="dxa"/>
            <w:shd w:val="clear" w:color="auto" w:fill="auto"/>
            <w:hideMark/>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Malé Posázaví</w:t>
            </w:r>
          </w:p>
        </w:tc>
        <w:tc>
          <w:tcPr>
            <w:tcW w:w="1413" w:type="dxa"/>
            <w:shd w:val="clear" w:color="auto" w:fill="auto"/>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Benešov</w:t>
            </w:r>
          </w:p>
        </w:tc>
        <w:tc>
          <w:tcPr>
            <w:tcW w:w="838" w:type="dxa"/>
            <w:shd w:val="clear" w:color="auto" w:fill="auto"/>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8</w:t>
            </w:r>
          </w:p>
        </w:tc>
        <w:tc>
          <w:tcPr>
            <w:tcW w:w="1240" w:type="dxa"/>
            <w:shd w:val="clear" w:color="auto" w:fill="auto"/>
          </w:tcPr>
          <w:p w:rsidR="00742A33" w:rsidRPr="003C2A82" w:rsidRDefault="00742A33" w:rsidP="00FB2AF6">
            <w:pPr>
              <w:spacing w:after="0" w:line="240" w:lineRule="auto"/>
              <w:jc w:val="right"/>
              <w:rPr>
                <w:rFonts w:eastAsia="Times New Roman"/>
                <w:color w:val="000000"/>
                <w:sz w:val="20"/>
                <w:szCs w:val="20"/>
                <w:lang w:eastAsia="cs-CZ"/>
              </w:rPr>
            </w:pPr>
            <w:r w:rsidRPr="003C2A82">
              <w:rPr>
                <w:rFonts w:eastAsia="Times New Roman"/>
                <w:color w:val="000000"/>
                <w:sz w:val="20"/>
                <w:szCs w:val="20"/>
                <w:lang w:eastAsia="cs-CZ"/>
              </w:rPr>
              <w:t>16. 12. 2014</w:t>
            </w:r>
          </w:p>
        </w:tc>
        <w:tc>
          <w:tcPr>
            <w:tcW w:w="2490" w:type="dxa"/>
            <w:shd w:val="clear" w:color="auto" w:fill="auto"/>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financování DSO</w:t>
            </w:r>
          </w:p>
        </w:tc>
        <w:tc>
          <w:tcPr>
            <w:tcW w:w="2256" w:type="dxa"/>
            <w:shd w:val="clear" w:color="auto" w:fill="auto"/>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v rozpracovanosti</w:t>
            </w:r>
          </w:p>
        </w:tc>
      </w:tr>
      <w:tr w:rsidR="00742A33" w:rsidRPr="003C2A82" w:rsidTr="00FB2AF6">
        <w:trPr>
          <w:jc w:val="center"/>
        </w:trPr>
        <w:tc>
          <w:tcPr>
            <w:tcW w:w="1824" w:type="dxa"/>
            <w:shd w:val="clear" w:color="auto" w:fill="auto"/>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CHOPOS</w:t>
            </w:r>
          </w:p>
        </w:tc>
        <w:tc>
          <w:tcPr>
            <w:tcW w:w="1413" w:type="dxa"/>
            <w:shd w:val="clear" w:color="auto" w:fill="auto"/>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Postupice</w:t>
            </w:r>
          </w:p>
        </w:tc>
        <w:tc>
          <w:tcPr>
            <w:tcW w:w="838" w:type="dxa"/>
            <w:shd w:val="clear" w:color="auto" w:fill="auto"/>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15</w:t>
            </w:r>
          </w:p>
        </w:tc>
        <w:tc>
          <w:tcPr>
            <w:tcW w:w="1240" w:type="dxa"/>
            <w:shd w:val="clear" w:color="auto" w:fill="auto"/>
          </w:tcPr>
          <w:p w:rsidR="00742A33" w:rsidRPr="003C2A82" w:rsidRDefault="00742A33" w:rsidP="00FB2AF6">
            <w:pPr>
              <w:spacing w:after="0" w:line="240" w:lineRule="auto"/>
              <w:jc w:val="right"/>
              <w:rPr>
                <w:rFonts w:eastAsia="Times New Roman"/>
                <w:color w:val="000000"/>
                <w:sz w:val="20"/>
                <w:szCs w:val="20"/>
                <w:lang w:eastAsia="cs-CZ"/>
              </w:rPr>
            </w:pPr>
            <w:r w:rsidRPr="003C2A82">
              <w:rPr>
                <w:rFonts w:eastAsia="Times New Roman"/>
                <w:color w:val="000000"/>
                <w:sz w:val="20"/>
                <w:szCs w:val="20"/>
                <w:lang w:eastAsia="cs-CZ"/>
              </w:rPr>
              <w:t>29. 12. 2015</w:t>
            </w:r>
          </w:p>
        </w:tc>
        <w:tc>
          <w:tcPr>
            <w:tcW w:w="2490" w:type="dxa"/>
            <w:shd w:val="clear" w:color="auto" w:fill="auto"/>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financování DSO</w:t>
            </w:r>
          </w:p>
        </w:tc>
        <w:tc>
          <w:tcPr>
            <w:tcW w:w="2256" w:type="dxa"/>
            <w:shd w:val="clear" w:color="auto" w:fill="auto"/>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v rozpracovanosti</w:t>
            </w:r>
          </w:p>
        </w:tc>
      </w:tr>
      <w:tr w:rsidR="00742A33" w:rsidRPr="003C2A82" w:rsidTr="00FB2AF6">
        <w:trPr>
          <w:jc w:val="center"/>
        </w:trPr>
        <w:tc>
          <w:tcPr>
            <w:tcW w:w="1824" w:type="dxa"/>
            <w:shd w:val="clear" w:color="auto" w:fill="auto"/>
            <w:hideMark/>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Malé Posázaví</w:t>
            </w:r>
          </w:p>
        </w:tc>
        <w:tc>
          <w:tcPr>
            <w:tcW w:w="1413" w:type="dxa"/>
            <w:shd w:val="clear" w:color="auto" w:fill="auto"/>
            <w:hideMark/>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Přestavlky u Čerčan</w:t>
            </w:r>
          </w:p>
        </w:tc>
        <w:tc>
          <w:tcPr>
            <w:tcW w:w="838" w:type="dxa"/>
            <w:shd w:val="clear" w:color="auto" w:fill="auto"/>
            <w:hideMark/>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7</w:t>
            </w:r>
          </w:p>
        </w:tc>
        <w:tc>
          <w:tcPr>
            <w:tcW w:w="1240" w:type="dxa"/>
            <w:shd w:val="clear" w:color="auto" w:fill="auto"/>
          </w:tcPr>
          <w:p w:rsidR="00742A33" w:rsidRPr="003C2A82" w:rsidRDefault="00742A33" w:rsidP="00FB2AF6">
            <w:pPr>
              <w:spacing w:after="0" w:line="240" w:lineRule="auto"/>
              <w:jc w:val="right"/>
              <w:rPr>
                <w:rFonts w:eastAsia="Times New Roman"/>
                <w:color w:val="000000"/>
                <w:sz w:val="20"/>
                <w:szCs w:val="20"/>
                <w:lang w:eastAsia="cs-CZ"/>
              </w:rPr>
            </w:pPr>
            <w:r w:rsidRPr="003C2A82">
              <w:rPr>
                <w:rFonts w:eastAsia="Times New Roman"/>
                <w:color w:val="000000"/>
                <w:sz w:val="20"/>
                <w:szCs w:val="20"/>
                <w:lang w:eastAsia="cs-CZ"/>
              </w:rPr>
              <w:t>08. 01. 2015</w:t>
            </w:r>
          </w:p>
        </w:tc>
        <w:tc>
          <w:tcPr>
            <w:tcW w:w="2490" w:type="dxa"/>
            <w:shd w:val="clear" w:color="auto" w:fill="auto"/>
            <w:hideMark/>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financování DSO, spolupráce obcí</w:t>
            </w:r>
          </w:p>
        </w:tc>
        <w:tc>
          <w:tcPr>
            <w:tcW w:w="2256" w:type="dxa"/>
            <w:shd w:val="clear" w:color="auto" w:fill="auto"/>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změna systému financování DSO</w:t>
            </w:r>
          </w:p>
        </w:tc>
      </w:tr>
      <w:tr w:rsidR="00742A33" w:rsidRPr="003C2A82" w:rsidTr="00FB2AF6">
        <w:trPr>
          <w:jc w:val="center"/>
        </w:trPr>
        <w:tc>
          <w:tcPr>
            <w:tcW w:w="1824" w:type="dxa"/>
            <w:shd w:val="clear" w:color="auto" w:fill="auto"/>
            <w:hideMark/>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CHOPOS</w:t>
            </w:r>
          </w:p>
        </w:tc>
        <w:tc>
          <w:tcPr>
            <w:tcW w:w="1413" w:type="dxa"/>
            <w:shd w:val="clear" w:color="auto" w:fill="auto"/>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Soběhrdy</w:t>
            </w:r>
          </w:p>
        </w:tc>
        <w:tc>
          <w:tcPr>
            <w:tcW w:w="838" w:type="dxa"/>
            <w:shd w:val="clear" w:color="auto" w:fill="auto"/>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16</w:t>
            </w:r>
          </w:p>
        </w:tc>
        <w:tc>
          <w:tcPr>
            <w:tcW w:w="1240" w:type="dxa"/>
            <w:shd w:val="clear" w:color="auto" w:fill="auto"/>
          </w:tcPr>
          <w:p w:rsidR="00742A33" w:rsidRPr="003C2A82" w:rsidRDefault="00742A33" w:rsidP="00FB2AF6">
            <w:pPr>
              <w:spacing w:after="0" w:line="240" w:lineRule="auto"/>
              <w:jc w:val="right"/>
              <w:rPr>
                <w:rFonts w:eastAsia="Times New Roman"/>
                <w:color w:val="000000"/>
                <w:sz w:val="20"/>
                <w:szCs w:val="20"/>
                <w:lang w:eastAsia="cs-CZ"/>
              </w:rPr>
            </w:pPr>
            <w:r w:rsidRPr="003C2A82">
              <w:rPr>
                <w:rFonts w:eastAsia="Times New Roman"/>
                <w:color w:val="000000"/>
                <w:sz w:val="20"/>
                <w:szCs w:val="20"/>
                <w:lang w:eastAsia="cs-CZ"/>
              </w:rPr>
              <w:t>27. 01. 2015</w:t>
            </w:r>
          </w:p>
        </w:tc>
        <w:tc>
          <w:tcPr>
            <w:tcW w:w="2490" w:type="dxa"/>
            <w:shd w:val="clear" w:color="auto" w:fill="auto"/>
          </w:tcPr>
          <w:p w:rsidR="00742A33" w:rsidRPr="003C2A82" w:rsidRDefault="00742A33" w:rsidP="00FB2AF6">
            <w:pPr>
              <w:spacing w:after="0" w:line="240" w:lineRule="auto"/>
              <w:rPr>
                <w:rFonts w:eastAsia="Times New Roman"/>
                <w:color w:val="000000"/>
                <w:sz w:val="20"/>
                <w:szCs w:val="20"/>
                <w:lang w:eastAsia="cs-CZ"/>
              </w:rPr>
            </w:pPr>
            <w:r w:rsidRPr="003C2A82">
              <w:rPr>
                <w:rFonts w:eastAsia="Times New Roman"/>
                <w:color w:val="000000"/>
                <w:sz w:val="20"/>
                <w:szCs w:val="20"/>
                <w:lang w:eastAsia="cs-CZ"/>
              </w:rPr>
              <w:t>financování DSO, spolupráce s MAS</w:t>
            </w:r>
          </w:p>
        </w:tc>
        <w:tc>
          <w:tcPr>
            <w:tcW w:w="2256" w:type="dxa"/>
            <w:shd w:val="clear" w:color="auto" w:fill="auto"/>
          </w:tcPr>
          <w:p w:rsidR="00742A33" w:rsidRPr="003C2A82" w:rsidRDefault="00742A33" w:rsidP="00FB2AF6">
            <w:pPr>
              <w:spacing w:after="0" w:line="240" w:lineRule="auto"/>
              <w:rPr>
                <w:rFonts w:eastAsia="Times New Roman"/>
                <w:color w:val="000000"/>
                <w:sz w:val="20"/>
                <w:szCs w:val="20"/>
                <w:lang w:eastAsia="cs-CZ"/>
              </w:rPr>
            </w:pPr>
          </w:p>
        </w:tc>
      </w:tr>
    </w:tbl>
    <w:p w:rsidR="00E22A43" w:rsidRDefault="00E22A43" w:rsidP="00C92756">
      <w:pPr>
        <w:spacing w:after="120"/>
        <w:ind w:firstLine="4"/>
      </w:pPr>
    </w:p>
    <w:p w:rsidR="006C7EC0" w:rsidRDefault="00A3420D" w:rsidP="00C92756">
      <w:pPr>
        <w:spacing w:after="120"/>
        <w:ind w:firstLine="4"/>
      </w:pPr>
      <w:r>
        <w:lastRenderedPageBreak/>
        <w:t>Sociální skupina - 9 (starostové, pracovníci odboru sociální péče města Benešov, odborná organizace realizující komunitní plánování)</w:t>
      </w:r>
      <w:r>
        <w:br/>
        <w:t>Školská skupina - 7 (starostové, odbor školství města Benešov, ředitelé škol)</w:t>
      </w:r>
      <w:r>
        <w:br/>
        <w:t>Odpady - 6 (starostové, TS Města Benešov)</w:t>
      </w:r>
      <w:r>
        <w:br/>
        <w:t>Cestovní ruch (8 - starostové, podnikatelé, Posázaví o.p.s. jako OCR)</w:t>
      </w:r>
    </w:p>
    <w:p w:rsidR="0002623E" w:rsidRPr="009369E1" w:rsidRDefault="0002623E" w:rsidP="00C92756">
      <w:pPr>
        <w:spacing w:after="120"/>
        <w:ind w:left="705" w:hanging="705"/>
        <w:rPr>
          <w:b/>
          <w:i/>
        </w:rPr>
      </w:pPr>
      <w:r w:rsidRPr="009369E1">
        <w:rPr>
          <w:b/>
          <w:i/>
        </w:rPr>
        <w:t xml:space="preserve">2.1.2 </w:t>
      </w:r>
      <w:r w:rsidRPr="009369E1">
        <w:rPr>
          <w:b/>
          <w:i/>
        </w:rPr>
        <w:tab/>
        <w:t>Postoje starostů jednotlivých obcí k možnému prohloubení meziobecní spolupráce</w:t>
      </w:r>
    </w:p>
    <w:p w:rsidR="009369E1" w:rsidRDefault="009369E1" w:rsidP="00C92756">
      <w:pPr>
        <w:spacing w:after="120"/>
        <w:jc w:val="both"/>
      </w:pPr>
      <w:r w:rsidRPr="00AB31F0">
        <w:t>V</w:t>
      </w:r>
      <w:r>
        <w:t> území SO ORP Benešov</w:t>
      </w:r>
      <w:r w:rsidRPr="00AB31F0">
        <w:t xml:space="preserve"> funguje dobře nastavená meziobecní spolupráce na úrovni dobrovolnýc</w:t>
      </w:r>
      <w:r>
        <w:t xml:space="preserve">h svazků obcí, starostové </w:t>
      </w:r>
      <w:r w:rsidRPr="00AB31F0">
        <w:t>nepředpokládají zakládání nových svazků.</w:t>
      </w:r>
      <w:r w:rsidRPr="005A6823">
        <w:t xml:space="preserve"> </w:t>
      </w:r>
      <w:r>
        <w:t>V rámci přípravy strategického dokumentu byla p</w:t>
      </w:r>
      <w:r w:rsidRPr="00AB31F0">
        <w:t>rojedná</w:t>
      </w:r>
      <w:r>
        <w:t>vána</w:t>
      </w:r>
      <w:r w:rsidRPr="00AB31F0">
        <w:t xml:space="preserve"> mož</w:t>
      </w:r>
      <w:r>
        <w:t>nost</w:t>
      </w:r>
      <w:r w:rsidRPr="00AB31F0">
        <w:t xml:space="preserve"> transformace v největším z</w:t>
      </w:r>
      <w:r>
        <w:t xml:space="preserve"> </w:t>
      </w:r>
      <w:proofErr w:type="spellStart"/>
      <w:r>
        <w:t>multitematických</w:t>
      </w:r>
      <w:proofErr w:type="spellEnd"/>
      <w:r w:rsidRPr="00AB31F0">
        <w:t xml:space="preserve"> DSO, kde byla možnost transformace na </w:t>
      </w:r>
      <w:proofErr w:type="gramStart"/>
      <w:r w:rsidRPr="00AB31F0">
        <w:t>jeden</w:t>
      </w:r>
      <w:proofErr w:type="gramEnd"/>
      <w:r w:rsidRPr="00AB31F0">
        <w:t xml:space="preserve"> velký DSO odmítnuta.</w:t>
      </w:r>
      <w:r>
        <w:t xml:space="preserve"> </w:t>
      </w:r>
      <w:r w:rsidRPr="00AB31F0">
        <w:t xml:space="preserve">Na </w:t>
      </w:r>
      <w:proofErr w:type="spellStart"/>
      <w:r w:rsidRPr="00AB31F0">
        <w:t>CHOPOSu</w:t>
      </w:r>
      <w:proofErr w:type="spellEnd"/>
      <w:r w:rsidRPr="00AB31F0">
        <w:t xml:space="preserve"> bylo odmítnuto také založení nového svazku obcí.</w:t>
      </w:r>
      <w:r>
        <w:t xml:space="preserve"> </w:t>
      </w:r>
      <w:r w:rsidRPr="00AB31F0">
        <w:t>S obcemi byla finálně s ohledem na vyplňování metodických listů projedná</w:t>
      </w:r>
      <w:r>
        <w:t>vána</w:t>
      </w:r>
      <w:r w:rsidRPr="00AB31F0">
        <w:t xml:space="preserve"> ochota a směry meziobecní spolupráce. Preferovanou variantou meziobecní spolupráce je využití v současnosti fungujících DSO.</w:t>
      </w:r>
      <w:r>
        <w:t xml:space="preserve"> </w:t>
      </w:r>
      <w:r w:rsidRPr="00AB31F0">
        <w:t xml:space="preserve">Všeobecně </w:t>
      </w:r>
      <w:r>
        <w:t>byl ze strany starostů</w:t>
      </w:r>
      <w:r w:rsidRPr="00AB31F0">
        <w:t xml:space="preserve"> deklarován názor, že nechtějí ani transformaci ani vytvoření nového velkého DSO. Meziobecní spolupráci ve větším celku si umí představit pouze v případě, že se bude jednat o podporovanou a motivovanou aktivitu ze strany státu.</w:t>
      </w:r>
      <w:r>
        <w:t xml:space="preserve"> </w:t>
      </w:r>
      <w:r w:rsidRPr="005A6823">
        <w:t>Byla</w:t>
      </w:r>
      <w:r>
        <w:t xml:space="preserve"> také řešena</w:t>
      </w:r>
      <w:r w:rsidRPr="005A6823">
        <w:t xml:space="preserve"> možnost využití DSO BENE-BUS jako nosného pro meziobecní spolupráci. Obecně byla tato možnost spíše zavržena s ohledem na dosavadní </w:t>
      </w:r>
      <w:r>
        <w:t xml:space="preserve">jednostranné </w:t>
      </w:r>
      <w:r w:rsidRPr="005A6823">
        <w:t>zaměření tohoto svazku obcí.</w:t>
      </w:r>
    </w:p>
    <w:p w:rsidR="0002623E" w:rsidRDefault="0002623E" w:rsidP="00C92756">
      <w:pPr>
        <w:spacing w:after="120"/>
        <w:ind w:left="705" w:hanging="705"/>
        <w:rPr>
          <w:i/>
        </w:rPr>
      </w:pPr>
      <w:r w:rsidRPr="00FB615A">
        <w:rPr>
          <w:b/>
          <w:i/>
        </w:rPr>
        <w:t xml:space="preserve">2.1.3 </w:t>
      </w:r>
      <w:r w:rsidRPr="00FB615A">
        <w:rPr>
          <w:b/>
          <w:i/>
        </w:rPr>
        <w:tab/>
      </w:r>
      <w:r w:rsidRPr="00A3420D">
        <w:rPr>
          <w:b/>
          <w:i/>
        </w:rPr>
        <w:t>Zhodnocení výsledků „Analýzy území z pohledu meziobecní spolupráce a návrhy na její možné prohloubení“</w:t>
      </w:r>
    </w:p>
    <w:p w:rsidR="002054DB" w:rsidRDefault="002054DB" w:rsidP="00C92756">
      <w:pPr>
        <w:spacing w:after="120"/>
        <w:ind w:firstLine="4"/>
        <w:jc w:val="both"/>
      </w:pPr>
      <w:r w:rsidRPr="002054DB">
        <w:t>Zkušenost s fungováním dobrovolného svazku obcí je většinově výborná až chvalitebná. Většina obcí je ve více než jednom DSO. Platformou řešící konkrétní problém pro většinu obcí je DSO BENE-BUS zaštiťující jednání obcí v oblasti dopravní obslužnosti. Žádný z DSO nemá ambici být nositelem řešení problematiky školství, sociálních služeb nebo odpadového hospodářství.</w:t>
      </w:r>
    </w:p>
    <w:p w:rsidR="002054DB" w:rsidRDefault="00C92756" w:rsidP="00C92756">
      <w:pPr>
        <w:spacing w:after="120"/>
        <w:ind w:firstLine="4"/>
        <w:jc w:val="both"/>
      </w:pPr>
      <w:r w:rsidRPr="00C92756">
        <w:t>Drtivě – tedy z 96 % – je spolupráce hodnocena minimálně jako dobrá, většinově pak jako minimálně velmi dobrá. Tento stav reflektuje zkušenost obcí se spoluprací na úrovni fungujících svazků obcí stejně jako četnost setkávání starostů na platformě místní akční skupiny a při ní zřízeného Shromáždění starostů. S největší pravděpodobností je zde také zohledněn fakt realizace širokého komunitního projednávání připravované strategie MAS. Negativní odpovědi jsou pak zdůvodněny nezájmem sousední obce o spolupráci, v jednom případě pak majetkovými spory mezi obcemi.</w:t>
      </w:r>
    </w:p>
    <w:p w:rsidR="00C92756" w:rsidRDefault="00C92756" w:rsidP="00C92756">
      <w:pPr>
        <w:spacing w:after="120"/>
        <w:ind w:firstLine="4"/>
        <w:jc w:val="both"/>
      </w:pPr>
      <w:r w:rsidRPr="00C92756">
        <w:t>Jako nejvýznamnější bariéra</w:t>
      </w:r>
      <w:r>
        <w:t xml:space="preserve"> pro meziobecní spolupráci</w:t>
      </w:r>
      <w:r w:rsidRPr="00C92756">
        <w:t xml:space="preserve"> byl definován nedostatek financí v rozpočtech obcí těsně následovaná nízkou podporou meziobecní spolupráce ze strany státu. Oba problémy jsou způsobeny opomíjením meziobecní spolupráce a její nepodporou v rámci rozpočtového určení daní. Ze strany obcí je pak definována jako brzda spolupráce velká zaneprázdněnost starostů, v ORP Benešov způsobená velkým počtem neuvolněných starostů na malých obcích.</w:t>
      </w:r>
    </w:p>
    <w:p w:rsidR="00C92756" w:rsidRDefault="00C92756" w:rsidP="00C92756">
      <w:pPr>
        <w:spacing w:after="120"/>
        <w:ind w:firstLine="4"/>
        <w:jc w:val="both"/>
      </w:pPr>
      <w:r>
        <w:t>J</w:t>
      </w:r>
      <w:r w:rsidRPr="00C92756">
        <w:t>ako nejvíce preferované oblasti spolupráce (naprosto vhodné až nezbytné) byly definovány předškolní a základní vzdělávání a řešení krizových situací.</w:t>
      </w:r>
    </w:p>
    <w:p w:rsidR="00C92756" w:rsidRPr="002054DB" w:rsidRDefault="00C92756" w:rsidP="00C92756">
      <w:pPr>
        <w:spacing w:after="120"/>
        <w:ind w:firstLine="4"/>
        <w:jc w:val="both"/>
      </w:pPr>
      <w:r w:rsidRPr="00C92756">
        <w:t>Jako jednoznačně nejvýhodnější forma spolupráce byla definována platforma dobrovolného svazku obcí. Jako velmi vhodná se respondentům jeví také forma Shromáždění starostů, kterou již znají jako formu zapojení starostů obcí do činnosti a ovlivňování aktivit místní akční skupiny.</w:t>
      </w:r>
    </w:p>
    <w:p w:rsidR="0002623E" w:rsidRPr="00C92756" w:rsidRDefault="0002623E" w:rsidP="00C92756">
      <w:pPr>
        <w:spacing w:after="120"/>
        <w:ind w:left="705" w:hanging="705"/>
        <w:rPr>
          <w:b/>
          <w:i/>
        </w:rPr>
      </w:pPr>
      <w:r w:rsidRPr="00C92756">
        <w:rPr>
          <w:b/>
          <w:i/>
        </w:rPr>
        <w:lastRenderedPageBreak/>
        <w:t xml:space="preserve">2.1.4 </w:t>
      </w:r>
      <w:r w:rsidRPr="00C92756">
        <w:rPr>
          <w:b/>
          <w:i/>
        </w:rPr>
        <w:tab/>
        <w:t>Charakteristika průběhu procesu přípravy právních do</w:t>
      </w:r>
      <w:r w:rsidR="00C92756" w:rsidRPr="00C92756">
        <w:rPr>
          <w:b/>
          <w:i/>
        </w:rPr>
        <w:t>kumentů pro potřeby DSO v území</w:t>
      </w:r>
    </w:p>
    <w:p w:rsidR="0002623E" w:rsidRDefault="00A3420D" w:rsidP="00C92756">
      <w:pPr>
        <w:spacing w:after="120"/>
        <w:jc w:val="both"/>
      </w:pPr>
      <w:r>
        <w:t>S obcemi byla finálně s ohledem na vyplňován</w:t>
      </w:r>
      <w:r w:rsidR="006515F1">
        <w:t>í metodických listů projednávána</w:t>
      </w:r>
      <w:r>
        <w:t xml:space="preserve"> ochota a směry meziobecní spolupráce. Všeobecně </w:t>
      </w:r>
      <w:r w:rsidR="00E22A43">
        <w:t>byl</w:t>
      </w:r>
      <w:r>
        <w:t xml:space="preserve"> deklarován názor, že nechtějí ani transformaci ani vytvoření nového velkého DSO. Meziobecní spolupráci ve větším celku si umí představit pouze v případě, že se bude jednat o podporovanou a motivovanou aktivitu ze strany státu.</w:t>
      </w:r>
      <w:r w:rsidR="00E22A43">
        <w:t xml:space="preserve"> Byly provedeny řízené rozhovory s 22 starosty. Ostatní účast na řízeném rozhovoru odmítli. Obce setrvávají i po osobních diskusích na svém stanovisku udržet současný stav spolupráce a neřešit transformaci kteréhokoliv ze svazků obcí na celé území SO ORP.</w:t>
      </w:r>
    </w:p>
    <w:p w:rsidR="00A3420D" w:rsidRDefault="00A3420D" w:rsidP="00C92756">
      <w:pPr>
        <w:spacing w:after="120"/>
        <w:rPr>
          <w:i/>
        </w:rPr>
      </w:pPr>
    </w:p>
    <w:p w:rsidR="0002623E" w:rsidRPr="0020100A" w:rsidRDefault="0002623E" w:rsidP="00C92756">
      <w:pPr>
        <w:spacing w:after="120"/>
        <w:ind w:left="705" w:hanging="705"/>
        <w:rPr>
          <w:b/>
          <w:i/>
        </w:rPr>
      </w:pPr>
      <w:r w:rsidRPr="0020100A">
        <w:rPr>
          <w:b/>
          <w:i/>
        </w:rPr>
        <w:t>2.</w:t>
      </w:r>
      <w:r>
        <w:rPr>
          <w:b/>
          <w:i/>
        </w:rPr>
        <w:t>2</w:t>
      </w:r>
      <w:r w:rsidRPr="0020100A">
        <w:rPr>
          <w:b/>
          <w:i/>
        </w:rPr>
        <w:t xml:space="preserve"> </w:t>
      </w:r>
      <w:r w:rsidRPr="0020100A">
        <w:rPr>
          <w:b/>
          <w:i/>
        </w:rPr>
        <w:tab/>
        <w:t>Zhodnocení dosavadního průběhu projektu z pohledu motivujících starostů</w:t>
      </w:r>
      <w:r>
        <w:rPr>
          <w:b/>
          <w:i/>
        </w:rPr>
        <w:t xml:space="preserve"> (tento bod zpracují motivující starostové)</w:t>
      </w:r>
    </w:p>
    <w:p w:rsidR="00BF79B2" w:rsidRPr="00CA6877" w:rsidRDefault="00BF79B2" w:rsidP="00BF79B2">
      <w:pPr>
        <w:spacing w:after="120"/>
        <w:jc w:val="both"/>
      </w:pPr>
      <w:r w:rsidRPr="00CA6877">
        <w:t>Spíše než dosavadní výstupy, které jsou nepochybně zajímavé, inspirativní a jak je vidět některé i jedinečné, bych se na dosavadní průběh projektu podíval z pohledu MS, který v řešeném území měl možnost podstatu projektu komunikovat s komunálními politiky a lidmi působícími v jednotlivých území</w:t>
      </w:r>
      <w:r>
        <w:t>ch</w:t>
      </w:r>
      <w:r w:rsidRPr="00CA6877">
        <w:t xml:space="preserve"> místních samospráv jako s představiteli místních zájmových organizací. </w:t>
      </w:r>
    </w:p>
    <w:p w:rsidR="00BF79B2" w:rsidRPr="00CA6877" w:rsidRDefault="00BF79B2" w:rsidP="00BF79B2">
      <w:pPr>
        <w:spacing w:after="120"/>
        <w:jc w:val="both"/>
      </w:pPr>
      <w:r w:rsidRPr="00CA6877">
        <w:t xml:space="preserve">Vnímání projektu z pohledu místních samospráv, rozklíčování jeho smyslu, hodnocení upotřebitelnosti, případně vyvození potencionálního </w:t>
      </w:r>
      <w:r>
        <w:t>přínosu</w:t>
      </w:r>
      <w:r w:rsidRPr="00CA6877">
        <w:t xml:space="preserve"> </w:t>
      </w:r>
      <w:r>
        <w:t>pro tyto územní celky</w:t>
      </w:r>
      <w:r w:rsidRPr="00CA6877">
        <w:t xml:space="preserve"> či zájmové skupiny v ko</w:t>
      </w:r>
      <w:r>
        <w:t>nkrétních obcích jsou znatel</w:t>
      </w:r>
      <w:r w:rsidRPr="00CA6877">
        <w:t>ně rozdílné mezi starosty uvolněnými pro výkon své funkce pr</w:t>
      </w:r>
      <w:r>
        <w:t>oti postojům starostů</w:t>
      </w:r>
      <w:r w:rsidRPr="00CA6877">
        <w:t xml:space="preserve">, kteří vykonávají své funkce neuvolněně. </w:t>
      </w:r>
    </w:p>
    <w:p w:rsidR="00BF79B2" w:rsidRPr="00CA6877" w:rsidRDefault="00BF79B2" w:rsidP="00BF79B2">
      <w:pPr>
        <w:spacing w:after="120"/>
        <w:jc w:val="both"/>
      </w:pPr>
      <w:r w:rsidRPr="00CA6877">
        <w:t>Výkon samosprávy spol</w:t>
      </w:r>
      <w:r>
        <w:t>u s výkonem přenesené působnosti</w:t>
      </w:r>
      <w:r w:rsidRPr="00CA6877">
        <w:t xml:space="preserve"> státu na úřady obcí typu I. rozdílným způsobem odčerpávají jak zájmový tak výkonnostní potenciál těchto vrcholných funkcionářů, a to v přímé úměře k času, který jsou schopni své funkci věnovat. Osobně mám za to, že kvalita, kvantita a efektivita stávající, ale i očekávané či předjí</w:t>
      </w:r>
      <w:r>
        <w:t xml:space="preserve">mané míry MOS spočívá </w:t>
      </w:r>
      <w:r w:rsidRPr="00CA6877">
        <w:t>v dostatečné časové a kapacitní re</w:t>
      </w:r>
      <w:r>
        <w:t>z</w:t>
      </w:r>
      <w:r w:rsidRPr="00CA6877">
        <w:t>ervě již tak nadmíru vytížených vrcholných politiků municipalit. Dále pak alespoň v početně minimálním, přesto spolehlivém profesionálním personálu na místních úřadech. Neoddiskutovatelným předpokladem pro úspěšné/neúspěšné rozvíjení MOS jsou však zastupitelstva. S určitostí v nichž zasedají členové znalí nejen místních poměrů a problematik, o čemž v žádném případě pochybovat nelze. Otázky však</w:t>
      </w:r>
      <w:r>
        <w:t xml:space="preserve"> vyvolává míra ale i přesah znalostí např. o základním</w:t>
      </w:r>
      <w:r w:rsidRPr="00CA6877">
        <w:t xml:space="preserve"> fungování a podstatě existencí DSO, </w:t>
      </w:r>
      <w:r>
        <w:t>MAS, případně sdružení či svazků</w:t>
      </w:r>
      <w:r w:rsidRPr="00CA6877">
        <w:t xml:space="preserve"> obcí s krajskou nebo celorepublikovou působností, jako jsou např. SMS ČR, SMO ČR, SPOV ČR, atd. </w:t>
      </w:r>
    </w:p>
    <w:p w:rsidR="00BF79B2" w:rsidRPr="00CA6877" w:rsidRDefault="00BF79B2" w:rsidP="00BF79B2">
      <w:pPr>
        <w:spacing w:after="120"/>
        <w:jc w:val="both"/>
      </w:pPr>
      <w:r w:rsidRPr="00CA6877">
        <w:t>Závěrem k tomuto poznatku chci říci, že úspěch nejen tohoto projektu, zejména však jeho smysluplného a veřejně prospěšného následného využití v praxi, ale i perspektiva fungování samospráv jako takových, velkou měrou tkví</w:t>
      </w:r>
      <w:r>
        <w:t xml:space="preserve"> </w:t>
      </w:r>
      <w:r w:rsidRPr="00CA6877">
        <w:t>ve vůli zastupitelstev umožnit „profesion</w:t>
      </w:r>
      <w:r>
        <w:t>alizaci“ vrcholných funkcí</w:t>
      </w:r>
      <w:r w:rsidRPr="00CA6877">
        <w:t xml:space="preserve"> na obcích především prvého typu (myšleno vykonávání vrcholných funkcí uvolněnými zastupiteli).</w:t>
      </w:r>
      <w:r>
        <w:t xml:space="preserve"> </w:t>
      </w:r>
    </w:p>
    <w:p w:rsidR="00BF79B2" w:rsidRPr="00CA6877" w:rsidRDefault="00BF79B2" w:rsidP="00BF79B2">
      <w:pPr>
        <w:spacing w:after="120"/>
        <w:jc w:val="both"/>
      </w:pPr>
      <w:r w:rsidRPr="00CA6877">
        <w:t xml:space="preserve">Druhým poznatkem jsou existující </w:t>
      </w:r>
      <w:r>
        <w:t>rez</w:t>
      </w:r>
      <w:r w:rsidRPr="00CA6877">
        <w:t>ervy ve vzájemné spolupráci místních zájmových</w:t>
      </w:r>
      <w:r>
        <w:t xml:space="preserve"> sdružení, místních organizací</w:t>
      </w:r>
      <w:r w:rsidRPr="00CA6877">
        <w:t xml:space="preserve"> a neformálních zájmových skupin uvnitř jednotlivých samosprávných celků. Obce vždy nemají ty správné zpětné vazby od místních subjektů, přestože v četných případech jejich činnost podporují materiálně nebo i přímo finančně ze svých (veřejných) rozpočtů. To znamená, že často nedisponují přehledem o poptávce nebo nabídce efektivní spolupráce organizací uvnitř obcí. Z vlastní zkušenosti naopak vím o příkladech, kdy zájmové skupiny umí poptávat či nabízet spolupráci </w:t>
      </w:r>
      <w:r w:rsidRPr="00CA6877">
        <w:lastRenderedPageBreak/>
        <w:t xml:space="preserve">subjektům totožně zaměřeným i přes hranice obcí a nejen těch obcí bezprostředně sousedících. Dokonce mám zkušenost a příklad dobré praxe, kdy </w:t>
      </w:r>
      <w:r>
        <w:t xml:space="preserve">se </w:t>
      </w:r>
      <w:r w:rsidRPr="00CA6877">
        <w:t xml:space="preserve">nad řešením společného tématu úspěšně schází několik naprosto odlišně zájmově zaměřených skupin. Oba poznatky bych kvalifikoval jako slabá/riziková místa </w:t>
      </w:r>
      <w:r>
        <w:t>pro další účinné rozvíjení MOS.</w:t>
      </w:r>
    </w:p>
    <w:p w:rsidR="00BF79B2" w:rsidRPr="00CA6877" w:rsidRDefault="00BF79B2" w:rsidP="00BF79B2">
      <w:pPr>
        <w:spacing w:after="120"/>
        <w:jc w:val="both"/>
      </w:pPr>
      <w:r w:rsidRPr="00CA6877">
        <w:t>Projekt naplánoval tři základní témata, na nichž se předpokládá založení a rozvíjení budoucích možných MOS. Ano, na mnohých území pro řešení problematik za tímto účelem mohou vzniknout nové DSO. Ovšem v území, kde DSO již existují, a mnohde více jak deset let, existuje zároveň obava z tendence zakládat nové. Obavy vyvolávají zejména zkušenosti starostů s financováním dosavadních DSO, kdy se provozní prostředky převážně získávají z příspěvků členů (obcí) z jejich rozpočtů. Zde bych doporučoval zdůrazňovat na jednání s dotčenými, že se ne vždy musí jednat o zakládání nových DSO. Naopak na území, kde svazky již existují, bude efektivní jejich činnost rozvětvit a portfolio působnosti rozšířit, logicky za cenu personálního posilování dosavadních týmů o nové profesionály, jako důsledek nových požadavků.</w:t>
      </w:r>
      <w:r>
        <w:t xml:space="preserve"> </w:t>
      </w:r>
      <w:r w:rsidRPr="00CA6877">
        <w:t xml:space="preserve"> </w:t>
      </w:r>
    </w:p>
    <w:p w:rsidR="00E22A43" w:rsidRDefault="00E22A43" w:rsidP="00BF79B2">
      <w:pPr>
        <w:spacing w:after="120"/>
        <w:jc w:val="both"/>
        <w:rPr>
          <w:b/>
          <w:i/>
        </w:rPr>
      </w:pPr>
      <w:r>
        <w:t>Největším probléme</w:t>
      </w:r>
      <w:r w:rsidR="006515F1">
        <w:t>m</w:t>
      </w:r>
      <w:r>
        <w:t xml:space="preserve"> je u všech oblastí systém financování obcí a velmi problematický přesun kompetencí (přenesenou působnost) na svazek obcí. V této oblasti by bylo vhodné doplnit rozpočtové určení daní směrem k DSO na přenesené aktivity od obcí a také jednodušeji umožnit přenést aktivity od obcí na DSO.</w:t>
      </w:r>
    </w:p>
    <w:p w:rsidR="0002623E" w:rsidRPr="0020100A" w:rsidRDefault="0002623E" w:rsidP="00C92756">
      <w:pPr>
        <w:spacing w:after="120"/>
        <w:rPr>
          <w:b/>
          <w:i/>
        </w:rPr>
      </w:pPr>
      <w:r w:rsidRPr="0020100A">
        <w:rPr>
          <w:b/>
          <w:i/>
        </w:rPr>
        <w:t>2.</w:t>
      </w:r>
      <w:r>
        <w:rPr>
          <w:b/>
          <w:i/>
        </w:rPr>
        <w:t>3</w:t>
      </w:r>
      <w:r w:rsidRPr="0020100A">
        <w:rPr>
          <w:b/>
          <w:i/>
        </w:rPr>
        <w:t xml:space="preserve"> </w:t>
      </w:r>
      <w:r w:rsidRPr="0020100A">
        <w:rPr>
          <w:b/>
          <w:i/>
        </w:rPr>
        <w:tab/>
      </w:r>
      <w:r>
        <w:rPr>
          <w:b/>
          <w:i/>
        </w:rPr>
        <w:t>Z</w:t>
      </w:r>
      <w:r w:rsidRPr="0020100A">
        <w:rPr>
          <w:b/>
          <w:i/>
        </w:rPr>
        <w:t xml:space="preserve">hodnocení průběhu prací na </w:t>
      </w:r>
      <w:r>
        <w:rPr>
          <w:b/>
          <w:i/>
        </w:rPr>
        <w:t>návrhové</w:t>
      </w:r>
      <w:r w:rsidRPr="0020100A">
        <w:rPr>
          <w:b/>
          <w:i/>
        </w:rPr>
        <w:t xml:space="preserve"> části souhrnného dokumentu za území ORP</w:t>
      </w:r>
    </w:p>
    <w:p w:rsidR="006515F1" w:rsidRDefault="00A3420D" w:rsidP="00C92756">
      <w:pPr>
        <w:spacing w:after="120"/>
        <w:ind w:firstLine="4"/>
        <w:jc w:val="both"/>
      </w:pPr>
      <w:r>
        <w:t>Připomínky oponentů nám pomohly doladit (a někdy také pochopit zadání) detaily analytické části. V mnohém nás překvapilo rozdílné pojetí oponentury, kdy tato oponovala samotné zadání dokumentu a jeho strukturu, názvosloví atp. V celkovém pojetí se dle našeho názoru celý dokument odchyluje od původního zadání, kdy se v analýze velmi těžko hledají podklady pro meziobecní spolupráci, jsou to velmi podrobně sebraná data, která ukazují starostům aktivity v jednotlivých oblastech a jejich finanční náročnost, ale výhodnost meziobecní spolupráce se s toho špatně "čte".</w:t>
      </w:r>
    </w:p>
    <w:p w:rsidR="006515F1" w:rsidRDefault="00A3420D" w:rsidP="00C92756">
      <w:pPr>
        <w:spacing w:after="120"/>
        <w:ind w:firstLine="4"/>
        <w:jc w:val="both"/>
      </w:pPr>
      <w:r>
        <w:t>Odpady - zde byla oponentura asi nejvíce odborně rozsáhlá řešená odborníkem na danou oblast.</w:t>
      </w:r>
      <w:r>
        <w:br/>
        <w:t>Školství - odborně zpracovaný posudek</w:t>
      </w:r>
    </w:p>
    <w:p w:rsidR="00A3420D" w:rsidRDefault="00A3420D" w:rsidP="00C92756">
      <w:pPr>
        <w:spacing w:after="120"/>
        <w:ind w:firstLine="4"/>
        <w:jc w:val="both"/>
      </w:pPr>
      <w:r>
        <w:t>Sociálno - oponentura odpovídala stavu zapracování výsledku komunitního plánu sociálních služeb</w:t>
      </w:r>
    </w:p>
    <w:p w:rsidR="006515F1" w:rsidRDefault="006515F1" w:rsidP="00C92756">
      <w:pPr>
        <w:spacing w:after="120"/>
        <w:jc w:val="both"/>
      </w:pPr>
      <w:r>
        <w:t xml:space="preserve">Na základě zpracování analytických podkladů, které byly finalizovány v 1. pololetí roku 2014, došlo realizačním týmem ke zpracování návrhové části strategie. Prvotní návrhy byly zpracovány na základě místních zkušeností realizačního týmu, byly postaveny také na závěrech odborných fokusních skupin pracujících na přípravě Strategie rozvoje regionu Posázaví. V rámci konzultačních pracovních jednání za účasti motivujících starostů byla návrhová část propracovávána. Finální verze strategie byla schválena na setkání starostů SO ORP Benešov </w:t>
      </w:r>
      <w:r w:rsidRPr="000E2494">
        <w:t>21. 4. 2015,</w:t>
      </w:r>
      <w:r>
        <w:t xml:space="preserve"> kde byla také přijata konkrétní řešení rozvoje SO ORP Benešov.</w:t>
      </w:r>
    </w:p>
    <w:p w:rsidR="00710208" w:rsidRDefault="00710208" w:rsidP="00C92756">
      <w:pPr>
        <w:spacing w:after="120"/>
        <w:jc w:val="both"/>
      </w:pPr>
      <w:r w:rsidRPr="00710208">
        <w:t>Největším problémem</w:t>
      </w:r>
      <w:r>
        <w:t xml:space="preserve"> při zpracování návrhové části</w:t>
      </w:r>
      <w:r w:rsidRPr="00710208">
        <w:t xml:space="preserve"> byl ochabující zájem obcí se do projektu intenzivněji zapojovat. Dlouhodobě se v regionu osvědčuje komunitní projednávání problémů na bázi pracovních skupin k daným tématům - tento systém byl využit i v řešení problematiky meziobecní spolupráce.</w:t>
      </w:r>
    </w:p>
    <w:p w:rsidR="00E31A5F" w:rsidRDefault="00E31A5F" w:rsidP="00C92756">
      <w:pPr>
        <w:spacing w:after="120"/>
        <w:jc w:val="both"/>
      </w:pPr>
    </w:p>
    <w:p w:rsidR="00E31A5F" w:rsidRDefault="00E31A5F" w:rsidP="00C92756">
      <w:pPr>
        <w:spacing w:after="120"/>
        <w:jc w:val="both"/>
      </w:pPr>
    </w:p>
    <w:p w:rsidR="006515F1" w:rsidRPr="006515F1" w:rsidRDefault="006515F1" w:rsidP="00C92756">
      <w:pPr>
        <w:spacing w:after="120"/>
        <w:rPr>
          <w:i/>
        </w:rPr>
      </w:pPr>
      <w:r w:rsidRPr="006515F1">
        <w:rPr>
          <w:i/>
        </w:rPr>
        <w:lastRenderedPageBreak/>
        <w:t>Harmonogram průběhu zpracování strategie</w:t>
      </w:r>
    </w:p>
    <w:tbl>
      <w:tblPr>
        <w:tblW w:w="0" w:type="auto"/>
        <w:jc w:val="center"/>
        <w:tblInd w:w="-1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0"/>
        <w:gridCol w:w="464"/>
        <w:gridCol w:w="464"/>
        <w:gridCol w:w="438"/>
        <w:gridCol w:w="438"/>
        <w:gridCol w:w="439"/>
        <w:gridCol w:w="441"/>
        <w:gridCol w:w="441"/>
        <w:gridCol w:w="441"/>
        <w:gridCol w:w="441"/>
        <w:gridCol w:w="441"/>
        <w:gridCol w:w="441"/>
        <w:gridCol w:w="467"/>
        <w:gridCol w:w="467"/>
        <w:gridCol w:w="467"/>
        <w:gridCol w:w="441"/>
        <w:gridCol w:w="441"/>
        <w:gridCol w:w="441"/>
        <w:gridCol w:w="441"/>
        <w:gridCol w:w="441"/>
        <w:gridCol w:w="441"/>
      </w:tblGrid>
      <w:tr w:rsidR="006515F1" w:rsidTr="002A1172">
        <w:trPr>
          <w:trHeight w:val="227"/>
          <w:jc w:val="center"/>
        </w:trPr>
        <w:tc>
          <w:tcPr>
            <w:tcW w:w="1833" w:type="dxa"/>
          </w:tcPr>
          <w:p w:rsidR="006515F1" w:rsidRDefault="006515F1" w:rsidP="002A1172">
            <w:pPr>
              <w:spacing w:after="0"/>
            </w:pPr>
          </w:p>
        </w:tc>
        <w:tc>
          <w:tcPr>
            <w:tcW w:w="936" w:type="dxa"/>
            <w:gridSpan w:val="2"/>
            <w:vAlign w:val="center"/>
          </w:tcPr>
          <w:p w:rsidR="006515F1" w:rsidRPr="00B16312" w:rsidRDefault="006515F1" w:rsidP="002A1172">
            <w:pPr>
              <w:spacing w:after="0"/>
              <w:jc w:val="center"/>
              <w:rPr>
                <w:b/>
              </w:rPr>
            </w:pPr>
            <w:r w:rsidRPr="00B16312">
              <w:rPr>
                <w:b/>
              </w:rPr>
              <w:t>2013</w:t>
            </w:r>
          </w:p>
        </w:tc>
        <w:tc>
          <w:tcPr>
            <w:tcW w:w="5482" w:type="dxa"/>
            <w:gridSpan w:val="12"/>
            <w:vAlign w:val="center"/>
          </w:tcPr>
          <w:p w:rsidR="006515F1" w:rsidRPr="00B16312" w:rsidRDefault="006515F1" w:rsidP="002A1172">
            <w:pPr>
              <w:spacing w:after="0"/>
              <w:jc w:val="center"/>
              <w:rPr>
                <w:b/>
              </w:rPr>
            </w:pPr>
            <w:r w:rsidRPr="00B16312">
              <w:rPr>
                <w:b/>
              </w:rPr>
              <w:t>2014</w:t>
            </w:r>
          </w:p>
        </w:tc>
        <w:tc>
          <w:tcPr>
            <w:tcW w:w="2718" w:type="dxa"/>
            <w:gridSpan w:val="6"/>
            <w:vAlign w:val="center"/>
          </w:tcPr>
          <w:p w:rsidR="006515F1" w:rsidRPr="00B16312" w:rsidRDefault="006515F1" w:rsidP="002A1172">
            <w:pPr>
              <w:spacing w:after="0"/>
              <w:jc w:val="center"/>
              <w:rPr>
                <w:b/>
              </w:rPr>
            </w:pPr>
            <w:r w:rsidRPr="00B16312">
              <w:rPr>
                <w:b/>
              </w:rPr>
              <w:t>2015</w:t>
            </w:r>
          </w:p>
        </w:tc>
      </w:tr>
      <w:tr w:rsidR="006515F1" w:rsidTr="002A1172">
        <w:trPr>
          <w:trHeight w:val="227"/>
          <w:jc w:val="center"/>
        </w:trPr>
        <w:tc>
          <w:tcPr>
            <w:tcW w:w="1833" w:type="dxa"/>
          </w:tcPr>
          <w:p w:rsidR="006515F1" w:rsidRPr="00B16312" w:rsidRDefault="006515F1" w:rsidP="002A1172">
            <w:pPr>
              <w:spacing w:after="0"/>
              <w:rPr>
                <w:b/>
              </w:rPr>
            </w:pPr>
            <w:r w:rsidRPr="00B16312">
              <w:rPr>
                <w:b/>
              </w:rPr>
              <w:t>Milník</w:t>
            </w:r>
          </w:p>
        </w:tc>
        <w:tc>
          <w:tcPr>
            <w:tcW w:w="468" w:type="dxa"/>
            <w:vAlign w:val="center"/>
          </w:tcPr>
          <w:p w:rsidR="006515F1" w:rsidRPr="00B16312" w:rsidRDefault="006515F1" w:rsidP="002A1172">
            <w:pPr>
              <w:spacing w:after="0"/>
              <w:jc w:val="center"/>
              <w:rPr>
                <w:b/>
              </w:rPr>
            </w:pPr>
            <w:r w:rsidRPr="00B16312">
              <w:rPr>
                <w:b/>
              </w:rPr>
              <w:t>11</w:t>
            </w:r>
          </w:p>
        </w:tc>
        <w:tc>
          <w:tcPr>
            <w:tcW w:w="468" w:type="dxa"/>
            <w:vAlign w:val="center"/>
          </w:tcPr>
          <w:p w:rsidR="006515F1" w:rsidRPr="00B16312" w:rsidRDefault="006515F1" w:rsidP="002A1172">
            <w:pPr>
              <w:spacing w:after="0"/>
              <w:jc w:val="center"/>
              <w:rPr>
                <w:b/>
              </w:rPr>
            </w:pPr>
            <w:r w:rsidRPr="00B16312">
              <w:rPr>
                <w:b/>
              </w:rPr>
              <w:t>12</w:t>
            </w:r>
          </w:p>
        </w:tc>
        <w:tc>
          <w:tcPr>
            <w:tcW w:w="451" w:type="dxa"/>
            <w:vAlign w:val="center"/>
          </w:tcPr>
          <w:p w:rsidR="006515F1" w:rsidRPr="00B16312" w:rsidRDefault="006515F1" w:rsidP="002A1172">
            <w:pPr>
              <w:spacing w:after="0"/>
              <w:jc w:val="center"/>
              <w:rPr>
                <w:b/>
              </w:rPr>
            </w:pPr>
            <w:r w:rsidRPr="00B16312">
              <w:rPr>
                <w:b/>
              </w:rPr>
              <w:t>1</w:t>
            </w:r>
          </w:p>
        </w:tc>
        <w:tc>
          <w:tcPr>
            <w:tcW w:w="451" w:type="dxa"/>
            <w:vAlign w:val="center"/>
          </w:tcPr>
          <w:p w:rsidR="006515F1" w:rsidRPr="00B16312" w:rsidRDefault="006515F1" w:rsidP="002A1172">
            <w:pPr>
              <w:spacing w:after="0"/>
              <w:jc w:val="center"/>
              <w:rPr>
                <w:b/>
              </w:rPr>
            </w:pPr>
            <w:r w:rsidRPr="00B16312">
              <w:rPr>
                <w:b/>
              </w:rPr>
              <w:t>2</w:t>
            </w:r>
          </w:p>
        </w:tc>
        <w:tc>
          <w:tcPr>
            <w:tcW w:w="452" w:type="dxa"/>
            <w:vAlign w:val="center"/>
          </w:tcPr>
          <w:p w:rsidR="006515F1" w:rsidRPr="00B16312" w:rsidRDefault="006515F1" w:rsidP="002A1172">
            <w:pPr>
              <w:spacing w:after="0"/>
              <w:jc w:val="center"/>
              <w:rPr>
                <w:b/>
              </w:rPr>
            </w:pPr>
            <w:r w:rsidRPr="00B16312">
              <w:rPr>
                <w:b/>
              </w:rPr>
              <w:t>3</w:t>
            </w:r>
          </w:p>
        </w:tc>
        <w:tc>
          <w:tcPr>
            <w:tcW w:w="453" w:type="dxa"/>
            <w:vAlign w:val="center"/>
          </w:tcPr>
          <w:p w:rsidR="006515F1" w:rsidRPr="00B16312" w:rsidRDefault="006515F1" w:rsidP="002A1172">
            <w:pPr>
              <w:spacing w:after="0"/>
              <w:jc w:val="center"/>
              <w:rPr>
                <w:b/>
              </w:rPr>
            </w:pPr>
            <w:r w:rsidRPr="00B16312">
              <w:rPr>
                <w:b/>
              </w:rPr>
              <w:t>4</w:t>
            </w:r>
          </w:p>
        </w:tc>
        <w:tc>
          <w:tcPr>
            <w:tcW w:w="453" w:type="dxa"/>
            <w:vAlign w:val="center"/>
          </w:tcPr>
          <w:p w:rsidR="006515F1" w:rsidRPr="00B16312" w:rsidRDefault="006515F1" w:rsidP="002A1172">
            <w:pPr>
              <w:spacing w:after="0"/>
              <w:jc w:val="center"/>
              <w:rPr>
                <w:b/>
              </w:rPr>
            </w:pPr>
            <w:r w:rsidRPr="00B16312">
              <w:rPr>
                <w:b/>
              </w:rPr>
              <w:t>5</w:t>
            </w:r>
          </w:p>
        </w:tc>
        <w:tc>
          <w:tcPr>
            <w:tcW w:w="453" w:type="dxa"/>
            <w:vAlign w:val="center"/>
          </w:tcPr>
          <w:p w:rsidR="006515F1" w:rsidRPr="00B16312" w:rsidRDefault="006515F1" w:rsidP="002A1172">
            <w:pPr>
              <w:spacing w:after="0"/>
              <w:jc w:val="center"/>
              <w:rPr>
                <w:b/>
              </w:rPr>
            </w:pPr>
            <w:r w:rsidRPr="00B16312">
              <w:rPr>
                <w:b/>
              </w:rPr>
              <w:t>6</w:t>
            </w:r>
          </w:p>
        </w:tc>
        <w:tc>
          <w:tcPr>
            <w:tcW w:w="453" w:type="dxa"/>
            <w:vAlign w:val="center"/>
          </w:tcPr>
          <w:p w:rsidR="006515F1" w:rsidRPr="00B16312" w:rsidRDefault="006515F1" w:rsidP="002A1172">
            <w:pPr>
              <w:spacing w:after="0"/>
              <w:jc w:val="center"/>
              <w:rPr>
                <w:b/>
              </w:rPr>
            </w:pPr>
            <w:r w:rsidRPr="00B16312">
              <w:rPr>
                <w:b/>
              </w:rPr>
              <w:t>7</w:t>
            </w:r>
          </w:p>
        </w:tc>
        <w:tc>
          <w:tcPr>
            <w:tcW w:w="453" w:type="dxa"/>
            <w:vAlign w:val="center"/>
          </w:tcPr>
          <w:p w:rsidR="006515F1" w:rsidRPr="00B16312" w:rsidRDefault="006515F1" w:rsidP="002A1172">
            <w:pPr>
              <w:spacing w:after="0"/>
              <w:jc w:val="center"/>
              <w:rPr>
                <w:b/>
              </w:rPr>
            </w:pPr>
            <w:r w:rsidRPr="00B16312">
              <w:rPr>
                <w:b/>
              </w:rPr>
              <w:t>8</w:t>
            </w:r>
          </w:p>
        </w:tc>
        <w:tc>
          <w:tcPr>
            <w:tcW w:w="453" w:type="dxa"/>
            <w:vAlign w:val="center"/>
          </w:tcPr>
          <w:p w:rsidR="006515F1" w:rsidRPr="00B16312" w:rsidRDefault="006515F1" w:rsidP="002A1172">
            <w:pPr>
              <w:spacing w:after="0"/>
              <w:jc w:val="center"/>
              <w:rPr>
                <w:b/>
              </w:rPr>
            </w:pPr>
            <w:r w:rsidRPr="00B16312">
              <w:rPr>
                <w:b/>
              </w:rPr>
              <w:t>9</w:t>
            </w:r>
          </w:p>
        </w:tc>
        <w:tc>
          <w:tcPr>
            <w:tcW w:w="470" w:type="dxa"/>
            <w:vAlign w:val="center"/>
          </w:tcPr>
          <w:p w:rsidR="006515F1" w:rsidRPr="00B16312" w:rsidRDefault="006515F1" w:rsidP="002A1172">
            <w:pPr>
              <w:spacing w:after="0"/>
              <w:jc w:val="center"/>
              <w:rPr>
                <w:b/>
              </w:rPr>
            </w:pPr>
            <w:r w:rsidRPr="00B16312">
              <w:rPr>
                <w:b/>
              </w:rPr>
              <w:t>10</w:t>
            </w:r>
          </w:p>
        </w:tc>
        <w:tc>
          <w:tcPr>
            <w:tcW w:w="470" w:type="dxa"/>
            <w:vAlign w:val="center"/>
          </w:tcPr>
          <w:p w:rsidR="006515F1" w:rsidRPr="00B16312" w:rsidRDefault="006515F1" w:rsidP="002A1172">
            <w:pPr>
              <w:spacing w:after="0"/>
              <w:jc w:val="center"/>
              <w:rPr>
                <w:b/>
              </w:rPr>
            </w:pPr>
            <w:r w:rsidRPr="00B16312">
              <w:rPr>
                <w:b/>
              </w:rPr>
              <w:t>11</w:t>
            </w:r>
          </w:p>
        </w:tc>
        <w:tc>
          <w:tcPr>
            <w:tcW w:w="470" w:type="dxa"/>
            <w:vAlign w:val="center"/>
          </w:tcPr>
          <w:p w:rsidR="006515F1" w:rsidRPr="00B16312" w:rsidRDefault="006515F1" w:rsidP="002A1172">
            <w:pPr>
              <w:spacing w:after="0"/>
              <w:jc w:val="center"/>
              <w:rPr>
                <w:b/>
              </w:rPr>
            </w:pPr>
            <w:r w:rsidRPr="00B16312">
              <w:rPr>
                <w:b/>
              </w:rPr>
              <w:t>12</w:t>
            </w:r>
          </w:p>
        </w:tc>
        <w:tc>
          <w:tcPr>
            <w:tcW w:w="453" w:type="dxa"/>
            <w:vAlign w:val="center"/>
          </w:tcPr>
          <w:p w:rsidR="006515F1" w:rsidRPr="00B16312" w:rsidRDefault="006515F1" w:rsidP="002A1172">
            <w:pPr>
              <w:spacing w:after="0"/>
              <w:jc w:val="center"/>
              <w:rPr>
                <w:b/>
              </w:rPr>
            </w:pPr>
            <w:r w:rsidRPr="00B16312">
              <w:rPr>
                <w:b/>
              </w:rPr>
              <w:t>1</w:t>
            </w:r>
          </w:p>
        </w:tc>
        <w:tc>
          <w:tcPr>
            <w:tcW w:w="453" w:type="dxa"/>
            <w:vAlign w:val="center"/>
          </w:tcPr>
          <w:p w:rsidR="006515F1" w:rsidRPr="00B16312" w:rsidRDefault="006515F1" w:rsidP="002A1172">
            <w:pPr>
              <w:spacing w:after="0"/>
              <w:jc w:val="center"/>
              <w:rPr>
                <w:b/>
              </w:rPr>
            </w:pPr>
            <w:r w:rsidRPr="00B16312">
              <w:rPr>
                <w:b/>
              </w:rPr>
              <w:t>2</w:t>
            </w:r>
          </w:p>
        </w:tc>
        <w:tc>
          <w:tcPr>
            <w:tcW w:w="453" w:type="dxa"/>
            <w:vAlign w:val="center"/>
          </w:tcPr>
          <w:p w:rsidR="006515F1" w:rsidRPr="00B16312" w:rsidRDefault="006515F1" w:rsidP="002A1172">
            <w:pPr>
              <w:spacing w:after="0"/>
              <w:jc w:val="center"/>
              <w:rPr>
                <w:b/>
              </w:rPr>
            </w:pPr>
            <w:r w:rsidRPr="00B16312">
              <w:rPr>
                <w:b/>
              </w:rPr>
              <w:t>3</w:t>
            </w:r>
          </w:p>
        </w:tc>
        <w:tc>
          <w:tcPr>
            <w:tcW w:w="453" w:type="dxa"/>
            <w:vAlign w:val="center"/>
          </w:tcPr>
          <w:p w:rsidR="006515F1" w:rsidRPr="00B16312" w:rsidRDefault="006515F1" w:rsidP="002A1172">
            <w:pPr>
              <w:spacing w:after="0"/>
              <w:jc w:val="center"/>
              <w:rPr>
                <w:b/>
              </w:rPr>
            </w:pPr>
            <w:r w:rsidRPr="00B16312">
              <w:rPr>
                <w:b/>
              </w:rPr>
              <w:t>4</w:t>
            </w:r>
          </w:p>
        </w:tc>
        <w:tc>
          <w:tcPr>
            <w:tcW w:w="453" w:type="dxa"/>
            <w:vAlign w:val="center"/>
          </w:tcPr>
          <w:p w:rsidR="006515F1" w:rsidRPr="00B16312" w:rsidRDefault="006515F1" w:rsidP="002A1172">
            <w:pPr>
              <w:spacing w:after="0"/>
              <w:jc w:val="center"/>
              <w:rPr>
                <w:b/>
              </w:rPr>
            </w:pPr>
            <w:r w:rsidRPr="00B16312">
              <w:rPr>
                <w:b/>
              </w:rPr>
              <w:t>5</w:t>
            </w:r>
          </w:p>
        </w:tc>
        <w:tc>
          <w:tcPr>
            <w:tcW w:w="453" w:type="dxa"/>
            <w:vAlign w:val="center"/>
          </w:tcPr>
          <w:p w:rsidR="006515F1" w:rsidRPr="00B16312" w:rsidRDefault="006515F1" w:rsidP="002A1172">
            <w:pPr>
              <w:spacing w:after="0"/>
              <w:jc w:val="center"/>
              <w:rPr>
                <w:b/>
              </w:rPr>
            </w:pPr>
            <w:r w:rsidRPr="00B16312">
              <w:rPr>
                <w:b/>
              </w:rPr>
              <w:t>6</w:t>
            </w:r>
          </w:p>
        </w:tc>
      </w:tr>
      <w:tr w:rsidR="006515F1" w:rsidTr="002A1172">
        <w:trPr>
          <w:trHeight w:val="227"/>
          <w:jc w:val="center"/>
        </w:trPr>
        <w:tc>
          <w:tcPr>
            <w:tcW w:w="1833" w:type="dxa"/>
            <w:vAlign w:val="center"/>
          </w:tcPr>
          <w:p w:rsidR="006515F1" w:rsidRPr="00B16312" w:rsidRDefault="006515F1" w:rsidP="002A1172">
            <w:pPr>
              <w:spacing w:after="0"/>
              <w:rPr>
                <w:sz w:val="16"/>
                <w:szCs w:val="16"/>
              </w:rPr>
            </w:pPr>
            <w:r w:rsidRPr="00B16312">
              <w:rPr>
                <w:sz w:val="16"/>
                <w:szCs w:val="16"/>
              </w:rPr>
              <w:t>Zadání strategie</w:t>
            </w:r>
          </w:p>
        </w:tc>
        <w:tc>
          <w:tcPr>
            <w:tcW w:w="468" w:type="dxa"/>
            <w:shd w:val="clear" w:color="auto" w:fill="00B050"/>
          </w:tcPr>
          <w:p w:rsidR="006515F1" w:rsidRDefault="006515F1" w:rsidP="002A1172">
            <w:pPr>
              <w:spacing w:after="0"/>
            </w:pPr>
          </w:p>
        </w:tc>
        <w:tc>
          <w:tcPr>
            <w:tcW w:w="468" w:type="dxa"/>
          </w:tcPr>
          <w:p w:rsidR="006515F1" w:rsidRDefault="006515F1" w:rsidP="002A1172">
            <w:pPr>
              <w:spacing w:after="0"/>
            </w:pPr>
          </w:p>
        </w:tc>
        <w:tc>
          <w:tcPr>
            <w:tcW w:w="451" w:type="dxa"/>
          </w:tcPr>
          <w:p w:rsidR="006515F1" w:rsidRDefault="006515F1" w:rsidP="002A1172">
            <w:pPr>
              <w:spacing w:after="0"/>
            </w:pPr>
          </w:p>
        </w:tc>
        <w:tc>
          <w:tcPr>
            <w:tcW w:w="451" w:type="dxa"/>
          </w:tcPr>
          <w:p w:rsidR="006515F1" w:rsidRDefault="006515F1" w:rsidP="002A1172">
            <w:pPr>
              <w:spacing w:after="0"/>
            </w:pPr>
          </w:p>
        </w:tc>
        <w:tc>
          <w:tcPr>
            <w:tcW w:w="452"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70" w:type="dxa"/>
          </w:tcPr>
          <w:p w:rsidR="006515F1" w:rsidRDefault="006515F1" w:rsidP="002A1172">
            <w:pPr>
              <w:spacing w:after="0"/>
            </w:pPr>
          </w:p>
        </w:tc>
        <w:tc>
          <w:tcPr>
            <w:tcW w:w="470" w:type="dxa"/>
          </w:tcPr>
          <w:p w:rsidR="006515F1" w:rsidRDefault="006515F1" w:rsidP="002A1172">
            <w:pPr>
              <w:spacing w:after="0"/>
            </w:pPr>
          </w:p>
        </w:tc>
        <w:tc>
          <w:tcPr>
            <w:tcW w:w="470"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r>
      <w:tr w:rsidR="006515F1" w:rsidTr="002A1172">
        <w:trPr>
          <w:trHeight w:val="227"/>
          <w:jc w:val="center"/>
        </w:trPr>
        <w:tc>
          <w:tcPr>
            <w:tcW w:w="1833" w:type="dxa"/>
            <w:vAlign w:val="center"/>
          </w:tcPr>
          <w:p w:rsidR="006515F1" w:rsidRPr="00B16312" w:rsidRDefault="006515F1" w:rsidP="002A1172">
            <w:pPr>
              <w:spacing w:after="0"/>
              <w:rPr>
                <w:sz w:val="16"/>
                <w:szCs w:val="16"/>
              </w:rPr>
            </w:pPr>
            <w:r w:rsidRPr="00B16312">
              <w:rPr>
                <w:sz w:val="16"/>
                <w:szCs w:val="16"/>
              </w:rPr>
              <w:t>Vytvoření týmu</w:t>
            </w:r>
          </w:p>
        </w:tc>
        <w:tc>
          <w:tcPr>
            <w:tcW w:w="468" w:type="dxa"/>
            <w:shd w:val="clear" w:color="auto" w:fill="EAF1DD"/>
          </w:tcPr>
          <w:p w:rsidR="006515F1" w:rsidRDefault="006515F1" w:rsidP="002A1172">
            <w:pPr>
              <w:spacing w:after="0"/>
            </w:pPr>
          </w:p>
        </w:tc>
        <w:tc>
          <w:tcPr>
            <w:tcW w:w="468" w:type="dxa"/>
            <w:tcBorders>
              <w:bottom w:val="single" w:sz="4" w:space="0" w:color="auto"/>
            </w:tcBorders>
          </w:tcPr>
          <w:p w:rsidR="006515F1" w:rsidRDefault="006515F1" w:rsidP="002A1172">
            <w:pPr>
              <w:spacing w:after="0"/>
            </w:pPr>
          </w:p>
        </w:tc>
        <w:tc>
          <w:tcPr>
            <w:tcW w:w="451" w:type="dxa"/>
            <w:tcBorders>
              <w:bottom w:val="single" w:sz="4" w:space="0" w:color="auto"/>
            </w:tcBorders>
          </w:tcPr>
          <w:p w:rsidR="006515F1" w:rsidRDefault="006515F1" w:rsidP="002A1172">
            <w:pPr>
              <w:spacing w:after="0"/>
            </w:pPr>
          </w:p>
        </w:tc>
        <w:tc>
          <w:tcPr>
            <w:tcW w:w="451" w:type="dxa"/>
            <w:tcBorders>
              <w:bottom w:val="single" w:sz="4" w:space="0" w:color="auto"/>
            </w:tcBorders>
          </w:tcPr>
          <w:p w:rsidR="006515F1" w:rsidRDefault="006515F1" w:rsidP="002A1172">
            <w:pPr>
              <w:spacing w:after="0"/>
            </w:pPr>
          </w:p>
        </w:tc>
        <w:tc>
          <w:tcPr>
            <w:tcW w:w="452"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70" w:type="dxa"/>
          </w:tcPr>
          <w:p w:rsidR="006515F1" w:rsidRDefault="006515F1" w:rsidP="002A1172">
            <w:pPr>
              <w:spacing w:after="0"/>
            </w:pPr>
          </w:p>
        </w:tc>
        <w:tc>
          <w:tcPr>
            <w:tcW w:w="470" w:type="dxa"/>
          </w:tcPr>
          <w:p w:rsidR="006515F1" w:rsidRDefault="006515F1" w:rsidP="002A1172">
            <w:pPr>
              <w:spacing w:after="0"/>
            </w:pPr>
          </w:p>
        </w:tc>
        <w:tc>
          <w:tcPr>
            <w:tcW w:w="470"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r>
      <w:tr w:rsidR="006515F1" w:rsidTr="002A1172">
        <w:trPr>
          <w:trHeight w:val="227"/>
          <w:jc w:val="center"/>
        </w:trPr>
        <w:tc>
          <w:tcPr>
            <w:tcW w:w="1833" w:type="dxa"/>
            <w:vAlign w:val="center"/>
          </w:tcPr>
          <w:p w:rsidR="006515F1" w:rsidRPr="00B16312" w:rsidRDefault="006515F1" w:rsidP="002A1172">
            <w:pPr>
              <w:spacing w:after="0"/>
              <w:rPr>
                <w:sz w:val="16"/>
                <w:szCs w:val="16"/>
              </w:rPr>
            </w:pPr>
            <w:r w:rsidRPr="00B16312">
              <w:rPr>
                <w:sz w:val="16"/>
                <w:szCs w:val="16"/>
              </w:rPr>
              <w:t>Dotazníky obcím</w:t>
            </w:r>
          </w:p>
        </w:tc>
        <w:tc>
          <w:tcPr>
            <w:tcW w:w="468" w:type="dxa"/>
          </w:tcPr>
          <w:p w:rsidR="006515F1" w:rsidRDefault="006515F1" w:rsidP="002A1172">
            <w:pPr>
              <w:spacing w:after="0"/>
            </w:pPr>
          </w:p>
        </w:tc>
        <w:tc>
          <w:tcPr>
            <w:tcW w:w="468" w:type="dxa"/>
            <w:shd w:val="clear" w:color="auto" w:fill="EAF1DD"/>
          </w:tcPr>
          <w:p w:rsidR="006515F1" w:rsidRDefault="006515F1" w:rsidP="002A1172">
            <w:pPr>
              <w:spacing w:after="0"/>
            </w:pPr>
          </w:p>
        </w:tc>
        <w:tc>
          <w:tcPr>
            <w:tcW w:w="451" w:type="dxa"/>
            <w:tcBorders>
              <w:bottom w:val="single" w:sz="4" w:space="0" w:color="auto"/>
            </w:tcBorders>
            <w:shd w:val="clear" w:color="auto" w:fill="EAF1DD"/>
          </w:tcPr>
          <w:p w:rsidR="006515F1" w:rsidRDefault="006515F1" w:rsidP="002A1172">
            <w:pPr>
              <w:spacing w:after="0"/>
            </w:pPr>
          </w:p>
        </w:tc>
        <w:tc>
          <w:tcPr>
            <w:tcW w:w="451" w:type="dxa"/>
            <w:tcBorders>
              <w:bottom w:val="single" w:sz="4" w:space="0" w:color="auto"/>
            </w:tcBorders>
            <w:shd w:val="clear" w:color="auto" w:fill="EAF1DD"/>
          </w:tcPr>
          <w:p w:rsidR="006515F1" w:rsidRDefault="006515F1" w:rsidP="002A1172">
            <w:pPr>
              <w:spacing w:after="0"/>
            </w:pPr>
          </w:p>
        </w:tc>
        <w:tc>
          <w:tcPr>
            <w:tcW w:w="452" w:type="dxa"/>
            <w:tcBorders>
              <w:bottom w:val="single" w:sz="4" w:space="0" w:color="auto"/>
            </w:tcBorders>
          </w:tcPr>
          <w:p w:rsidR="006515F1" w:rsidRDefault="006515F1" w:rsidP="002A1172">
            <w:pPr>
              <w:spacing w:after="0"/>
            </w:pPr>
          </w:p>
        </w:tc>
        <w:tc>
          <w:tcPr>
            <w:tcW w:w="453" w:type="dxa"/>
            <w:tcBorders>
              <w:bottom w:val="single" w:sz="4" w:space="0" w:color="auto"/>
            </w:tcBorders>
          </w:tcPr>
          <w:p w:rsidR="006515F1" w:rsidRDefault="006515F1" w:rsidP="002A1172">
            <w:pPr>
              <w:spacing w:after="0"/>
            </w:pPr>
          </w:p>
        </w:tc>
        <w:tc>
          <w:tcPr>
            <w:tcW w:w="453" w:type="dxa"/>
            <w:tcBorders>
              <w:bottom w:val="single" w:sz="4" w:space="0" w:color="auto"/>
            </w:tcBorders>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70" w:type="dxa"/>
          </w:tcPr>
          <w:p w:rsidR="006515F1" w:rsidRDefault="006515F1" w:rsidP="002A1172">
            <w:pPr>
              <w:spacing w:after="0"/>
            </w:pPr>
          </w:p>
        </w:tc>
        <w:tc>
          <w:tcPr>
            <w:tcW w:w="470" w:type="dxa"/>
          </w:tcPr>
          <w:p w:rsidR="006515F1" w:rsidRDefault="006515F1" w:rsidP="002A1172">
            <w:pPr>
              <w:spacing w:after="0"/>
            </w:pPr>
          </w:p>
        </w:tc>
        <w:tc>
          <w:tcPr>
            <w:tcW w:w="470"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r>
      <w:tr w:rsidR="006515F1" w:rsidTr="002A1172">
        <w:trPr>
          <w:trHeight w:val="227"/>
          <w:jc w:val="center"/>
        </w:trPr>
        <w:tc>
          <w:tcPr>
            <w:tcW w:w="1833" w:type="dxa"/>
            <w:vAlign w:val="center"/>
          </w:tcPr>
          <w:p w:rsidR="006515F1" w:rsidRPr="00B16312" w:rsidRDefault="006515F1" w:rsidP="002A1172">
            <w:pPr>
              <w:spacing w:after="0"/>
              <w:rPr>
                <w:sz w:val="16"/>
                <w:szCs w:val="16"/>
              </w:rPr>
            </w:pPr>
            <w:r w:rsidRPr="00B16312">
              <w:rPr>
                <w:sz w:val="16"/>
                <w:szCs w:val="16"/>
              </w:rPr>
              <w:t>Základní oblasti – SKO / SOC / OD</w:t>
            </w:r>
          </w:p>
        </w:tc>
        <w:tc>
          <w:tcPr>
            <w:tcW w:w="468" w:type="dxa"/>
          </w:tcPr>
          <w:p w:rsidR="006515F1" w:rsidRDefault="006515F1" w:rsidP="002A1172">
            <w:pPr>
              <w:spacing w:after="0"/>
            </w:pPr>
          </w:p>
        </w:tc>
        <w:tc>
          <w:tcPr>
            <w:tcW w:w="468" w:type="dxa"/>
          </w:tcPr>
          <w:p w:rsidR="006515F1" w:rsidRDefault="006515F1" w:rsidP="002A1172">
            <w:pPr>
              <w:spacing w:after="0"/>
            </w:pPr>
          </w:p>
        </w:tc>
        <w:tc>
          <w:tcPr>
            <w:tcW w:w="451" w:type="dxa"/>
            <w:shd w:val="clear" w:color="auto" w:fill="EAF1DD"/>
          </w:tcPr>
          <w:p w:rsidR="006515F1" w:rsidRDefault="006515F1" w:rsidP="002A1172">
            <w:pPr>
              <w:spacing w:after="0"/>
            </w:pPr>
          </w:p>
        </w:tc>
        <w:tc>
          <w:tcPr>
            <w:tcW w:w="451" w:type="dxa"/>
            <w:shd w:val="clear" w:color="auto" w:fill="EAF1DD"/>
          </w:tcPr>
          <w:p w:rsidR="006515F1" w:rsidRDefault="006515F1" w:rsidP="002A1172">
            <w:pPr>
              <w:spacing w:after="0"/>
            </w:pPr>
          </w:p>
        </w:tc>
        <w:tc>
          <w:tcPr>
            <w:tcW w:w="452" w:type="dxa"/>
            <w:shd w:val="clear" w:color="auto" w:fill="EAF1DD"/>
          </w:tcPr>
          <w:p w:rsidR="006515F1" w:rsidRDefault="006515F1" w:rsidP="002A1172">
            <w:pPr>
              <w:spacing w:after="0"/>
            </w:pPr>
          </w:p>
        </w:tc>
        <w:tc>
          <w:tcPr>
            <w:tcW w:w="453" w:type="dxa"/>
            <w:shd w:val="clear" w:color="auto" w:fill="EAF1DD"/>
          </w:tcPr>
          <w:p w:rsidR="006515F1" w:rsidRDefault="006515F1" w:rsidP="002A1172">
            <w:pPr>
              <w:spacing w:after="0"/>
            </w:pPr>
          </w:p>
        </w:tc>
        <w:tc>
          <w:tcPr>
            <w:tcW w:w="453" w:type="dxa"/>
            <w:shd w:val="clear" w:color="auto" w:fill="EAF1DD"/>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70" w:type="dxa"/>
          </w:tcPr>
          <w:p w:rsidR="006515F1" w:rsidRDefault="006515F1" w:rsidP="002A1172">
            <w:pPr>
              <w:spacing w:after="0"/>
            </w:pPr>
          </w:p>
        </w:tc>
        <w:tc>
          <w:tcPr>
            <w:tcW w:w="470" w:type="dxa"/>
          </w:tcPr>
          <w:p w:rsidR="006515F1" w:rsidRDefault="006515F1" w:rsidP="002A1172">
            <w:pPr>
              <w:spacing w:after="0"/>
            </w:pPr>
          </w:p>
        </w:tc>
        <w:tc>
          <w:tcPr>
            <w:tcW w:w="470"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r>
      <w:tr w:rsidR="006515F1" w:rsidTr="002A1172">
        <w:trPr>
          <w:trHeight w:val="227"/>
          <w:jc w:val="center"/>
        </w:trPr>
        <w:tc>
          <w:tcPr>
            <w:tcW w:w="1833" w:type="dxa"/>
            <w:vAlign w:val="center"/>
          </w:tcPr>
          <w:p w:rsidR="006515F1" w:rsidRPr="00B16312" w:rsidRDefault="006515F1" w:rsidP="002A1172">
            <w:pPr>
              <w:spacing w:after="0"/>
              <w:rPr>
                <w:sz w:val="16"/>
                <w:szCs w:val="16"/>
              </w:rPr>
            </w:pPr>
            <w:r w:rsidRPr="00B16312">
              <w:rPr>
                <w:sz w:val="16"/>
                <w:szCs w:val="16"/>
              </w:rPr>
              <w:t>Schválení volitelné oblasti a analytické části</w:t>
            </w:r>
          </w:p>
        </w:tc>
        <w:tc>
          <w:tcPr>
            <w:tcW w:w="468" w:type="dxa"/>
          </w:tcPr>
          <w:p w:rsidR="006515F1" w:rsidRDefault="006515F1" w:rsidP="002A1172">
            <w:pPr>
              <w:spacing w:after="0"/>
            </w:pPr>
          </w:p>
        </w:tc>
        <w:tc>
          <w:tcPr>
            <w:tcW w:w="468" w:type="dxa"/>
          </w:tcPr>
          <w:p w:rsidR="006515F1" w:rsidRDefault="006515F1" w:rsidP="002A1172">
            <w:pPr>
              <w:spacing w:after="0"/>
            </w:pPr>
          </w:p>
        </w:tc>
        <w:tc>
          <w:tcPr>
            <w:tcW w:w="451" w:type="dxa"/>
          </w:tcPr>
          <w:p w:rsidR="006515F1" w:rsidRDefault="006515F1" w:rsidP="002A1172">
            <w:pPr>
              <w:spacing w:after="0"/>
            </w:pPr>
          </w:p>
        </w:tc>
        <w:tc>
          <w:tcPr>
            <w:tcW w:w="451" w:type="dxa"/>
          </w:tcPr>
          <w:p w:rsidR="006515F1" w:rsidRDefault="006515F1" w:rsidP="002A1172">
            <w:pPr>
              <w:spacing w:after="0"/>
            </w:pPr>
          </w:p>
        </w:tc>
        <w:tc>
          <w:tcPr>
            <w:tcW w:w="452" w:type="dxa"/>
          </w:tcPr>
          <w:p w:rsidR="006515F1" w:rsidRDefault="006515F1" w:rsidP="002A1172">
            <w:pPr>
              <w:spacing w:after="0"/>
            </w:pPr>
          </w:p>
        </w:tc>
        <w:tc>
          <w:tcPr>
            <w:tcW w:w="453" w:type="dxa"/>
          </w:tcPr>
          <w:p w:rsidR="006515F1" w:rsidRDefault="006515F1" w:rsidP="002A1172">
            <w:pPr>
              <w:spacing w:after="0"/>
            </w:pPr>
          </w:p>
        </w:tc>
        <w:tc>
          <w:tcPr>
            <w:tcW w:w="453" w:type="dxa"/>
            <w:shd w:val="clear" w:color="auto" w:fill="76923C"/>
          </w:tcPr>
          <w:p w:rsidR="006515F1" w:rsidRDefault="006515F1" w:rsidP="002A1172">
            <w:pPr>
              <w:spacing w:after="0"/>
            </w:pPr>
          </w:p>
        </w:tc>
        <w:tc>
          <w:tcPr>
            <w:tcW w:w="453" w:type="dxa"/>
            <w:tcBorders>
              <w:bottom w:val="single" w:sz="4" w:space="0" w:color="auto"/>
            </w:tcBorders>
          </w:tcPr>
          <w:p w:rsidR="006515F1" w:rsidRDefault="006515F1" w:rsidP="002A1172">
            <w:pPr>
              <w:spacing w:after="0"/>
            </w:pPr>
          </w:p>
        </w:tc>
        <w:tc>
          <w:tcPr>
            <w:tcW w:w="453" w:type="dxa"/>
            <w:tcBorders>
              <w:bottom w:val="single" w:sz="4" w:space="0" w:color="auto"/>
            </w:tcBorders>
          </w:tcPr>
          <w:p w:rsidR="006515F1" w:rsidRDefault="006515F1" w:rsidP="002A1172">
            <w:pPr>
              <w:spacing w:after="0"/>
            </w:pPr>
          </w:p>
        </w:tc>
        <w:tc>
          <w:tcPr>
            <w:tcW w:w="453" w:type="dxa"/>
            <w:tcBorders>
              <w:bottom w:val="single" w:sz="4" w:space="0" w:color="auto"/>
            </w:tcBorders>
          </w:tcPr>
          <w:p w:rsidR="006515F1" w:rsidRDefault="006515F1" w:rsidP="002A1172">
            <w:pPr>
              <w:spacing w:after="0"/>
            </w:pPr>
          </w:p>
        </w:tc>
        <w:tc>
          <w:tcPr>
            <w:tcW w:w="453" w:type="dxa"/>
            <w:tcBorders>
              <w:bottom w:val="single" w:sz="4" w:space="0" w:color="auto"/>
            </w:tcBorders>
          </w:tcPr>
          <w:p w:rsidR="006515F1" w:rsidRDefault="006515F1" w:rsidP="002A1172">
            <w:pPr>
              <w:spacing w:after="0"/>
            </w:pPr>
          </w:p>
        </w:tc>
        <w:tc>
          <w:tcPr>
            <w:tcW w:w="470" w:type="dxa"/>
          </w:tcPr>
          <w:p w:rsidR="006515F1" w:rsidRDefault="006515F1" w:rsidP="002A1172">
            <w:pPr>
              <w:spacing w:after="0"/>
            </w:pPr>
          </w:p>
        </w:tc>
        <w:tc>
          <w:tcPr>
            <w:tcW w:w="470" w:type="dxa"/>
          </w:tcPr>
          <w:p w:rsidR="006515F1" w:rsidRDefault="006515F1" w:rsidP="002A1172">
            <w:pPr>
              <w:spacing w:after="0"/>
            </w:pPr>
          </w:p>
        </w:tc>
        <w:tc>
          <w:tcPr>
            <w:tcW w:w="470"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r>
      <w:tr w:rsidR="006515F1" w:rsidTr="002A1172">
        <w:trPr>
          <w:trHeight w:val="227"/>
          <w:jc w:val="center"/>
        </w:trPr>
        <w:tc>
          <w:tcPr>
            <w:tcW w:w="1833" w:type="dxa"/>
            <w:vAlign w:val="center"/>
          </w:tcPr>
          <w:p w:rsidR="006515F1" w:rsidRPr="00B16312" w:rsidRDefault="006515F1" w:rsidP="002A1172">
            <w:pPr>
              <w:spacing w:after="0"/>
              <w:rPr>
                <w:sz w:val="16"/>
                <w:szCs w:val="16"/>
              </w:rPr>
            </w:pPr>
            <w:r w:rsidRPr="00B16312">
              <w:rPr>
                <w:sz w:val="16"/>
                <w:szCs w:val="16"/>
              </w:rPr>
              <w:t>Oblast CR</w:t>
            </w:r>
          </w:p>
        </w:tc>
        <w:tc>
          <w:tcPr>
            <w:tcW w:w="468" w:type="dxa"/>
          </w:tcPr>
          <w:p w:rsidR="006515F1" w:rsidRDefault="006515F1" w:rsidP="002A1172">
            <w:pPr>
              <w:spacing w:after="0"/>
            </w:pPr>
          </w:p>
        </w:tc>
        <w:tc>
          <w:tcPr>
            <w:tcW w:w="468" w:type="dxa"/>
          </w:tcPr>
          <w:p w:rsidR="006515F1" w:rsidRDefault="006515F1" w:rsidP="002A1172">
            <w:pPr>
              <w:spacing w:after="0"/>
            </w:pPr>
          </w:p>
        </w:tc>
        <w:tc>
          <w:tcPr>
            <w:tcW w:w="451" w:type="dxa"/>
          </w:tcPr>
          <w:p w:rsidR="006515F1" w:rsidRDefault="006515F1" w:rsidP="002A1172">
            <w:pPr>
              <w:spacing w:after="0"/>
            </w:pPr>
          </w:p>
        </w:tc>
        <w:tc>
          <w:tcPr>
            <w:tcW w:w="451" w:type="dxa"/>
          </w:tcPr>
          <w:p w:rsidR="006515F1" w:rsidRDefault="006515F1" w:rsidP="002A1172">
            <w:pPr>
              <w:spacing w:after="0"/>
            </w:pPr>
          </w:p>
        </w:tc>
        <w:tc>
          <w:tcPr>
            <w:tcW w:w="452"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shd w:val="clear" w:color="auto" w:fill="EAF1DD"/>
          </w:tcPr>
          <w:p w:rsidR="006515F1" w:rsidRDefault="006515F1" w:rsidP="002A1172">
            <w:pPr>
              <w:spacing w:after="0"/>
            </w:pPr>
          </w:p>
        </w:tc>
        <w:tc>
          <w:tcPr>
            <w:tcW w:w="453" w:type="dxa"/>
            <w:tcBorders>
              <w:bottom w:val="single" w:sz="4" w:space="0" w:color="auto"/>
            </w:tcBorders>
            <w:shd w:val="clear" w:color="auto" w:fill="EAF1DD"/>
          </w:tcPr>
          <w:p w:rsidR="006515F1" w:rsidRDefault="006515F1" w:rsidP="002A1172">
            <w:pPr>
              <w:spacing w:after="0"/>
            </w:pPr>
          </w:p>
        </w:tc>
        <w:tc>
          <w:tcPr>
            <w:tcW w:w="453" w:type="dxa"/>
            <w:tcBorders>
              <w:bottom w:val="single" w:sz="4" w:space="0" w:color="auto"/>
            </w:tcBorders>
            <w:shd w:val="clear" w:color="auto" w:fill="EAF1DD"/>
          </w:tcPr>
          <w:p w:rsidR="006515F1" w:rsidRDefault="006515F1" w:rsidP="002A1172">
            <w:pPr>
              <w:spacing w:after="0"/>
            </w:pPr>
          </w:p>
        </w:tc>
        <w:tc>
          <w:tcPr>
            <w:tcW w:w="453" w:type="dxa"/>
            <w:tcBorders>
              <w:bottom w:val="single" w:sz="4" w:space="0" w:color="auto"/>
            </w:tcBorders>
            <w:shd w:val="clear" w:color="auto" w:fill="EAF1DD"/>
          </w:tcPr>
          <w:p w:rsidR="006515F1" w:rsidRDefault="006515F1" w:rsidP="002A1172">
            <w:pPr>
              <w:spacing w:after="0"/>
            </w:pPr>
          </w:p>
        </w:tc>
        <w:tc>
          <w:tcPr>
            <w:tcW w:w="470" w:type="dxa"/>
            <w:tcBorders>
              <w:bottom w:val="single" w:sz="4" w:space="0" w:color="auto"/>
            </w:tcBorders>
          </w:tcPr>
          <w:p w:rsidR="006515F1" w:rsidRDefault="006515F1" w:rsidP="002A1172">
            <w:pPr>
              <w:spacing w:after="0"/>
            </w:pPr>
          </w:p>
        </w:tc>
        <w:tc>
          <w:tcPr>
            <w:tcW w:w="470" w:type="dxa"/>
            <w:tcBorders>
              <w:bottom w:val="single" w:sz="4" w:space="0" w:color="auto"/>
            </w:tcBorders>
          </w:tcPr>
          <w:p w:rsidR="006515F1" w:rsidRDefault="006515F1" w:rsidP="002A1172">
            <w:pPr>
              <w:spacing w:after="0"/>
            </w:pPr>
          </w:p>
        </w:tc>
        <w:tc>
          <w:tcPr>
            <w:tcW w:w="470" w:type="dxa"/>
            <w:tcBorders>
              <w:bottom w:val="single" w:sz="4" w:space="0" w:color="auto"/>
            </w:tcBorders>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r>
      <w:tr w:rsidR="006515F1" w:rsidTr="002A1172">
        <w:trPr>
          <w:trHeight w:val="227"/>
          <w:jc w:val="center"/>
        </w:trPr>
        <w:tc>
          <w:tcPr>
            <w:tcW w:w="1833" w:type="dxa"/>
            <w:vAlign w:val="center"/>
          </w:tcPr>
          <w:p w:rsidR="006515F1" w:rsidRPr="00B16312" w:rsidRDefault="006515F1" w:rsidP="002A1172">
            <w:pPr>
              <w:spacing w:after="0"/>
              <w:rPr>
                <w:sz w:val="16"/>
                <w:szCs w:val="16"/>
              </w:rPr>
            </w:pPr>
            <w:r w:rsidRPr="00B16312">
              <w:rPr>
                <w:sz w:val="16"/>
                <w:szCs w:val="16"/>
              </w:rPr>
              <w:t>Návrhová část</w:t>
            </w:r>
          </w:p>
        </w:tc>
        <w:tc>
          <w:tcPr>
            <w:tcW w:w="468" w:type="dxa"/>
          </w:tcPr>
          <w:p w:rsidR="006515F1" w:rsidRDefault="006515F1" w:rsidP="002A1172">
            <w:pPr>
              <w:spacing w:after="0"/>
            </w:pPr>
          </w:p>
        </w:tc>
        <w:tc>
          <w:tcPr>
            <w:tcW w:w="468" w:type="dxa"/>
          </w:tcPr>
          <w:p w:rsidR="006515F1" w:rsidRDefault="006515F1" w:rsidP="002A1172">
            <w:pPr>
              <w:spacing w:after="0"/>
            </w:pPr>
          </w:p>
        </w:tc>
        <w:tc>
          <w:tcPr>
            <w:tcW w:w="451" w:type="dxa"/>
          </w:tcPr>
          <w:p w:rsidR="006515F1" w:rsidRDefault="006515F1" w:rsidP="002A1172">
            <w:pPr>
              <w:spacing w:after="0"/>
            </w:pPr>
          </w:p>
        </w:tc>
        <w:tc>
          <w:tcPr>
            <w:tcW w:w="451" w:type="dxa"/>
          </w:tcPr>
          <w:p w:rsidR="006515F1" w:rsidRDefault="006515F1" w:rsidP="002A1172">
            <w:pPr>
              <w:spacing w:after="0"/>
            </w:pPr>
          </w:p>
        </w:tc>
        <w:tc>
          <w:tcPr>
            <w:tcW w:w="452"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shd w:val="clear" w:color="auto" w:fill="E5DFEC"/>
          </w:tcPr>
          <w:p w:rsidR="006515F1" w:rsidRDefault="006515F1" w:rsidP="002A1172">
            <w:pPr>
              <w:spacing w:after="0"/>
            </w:pPr>
          </w:p>
        </w:tc>
        <w:tc>
          <w:tcPr>
            <w:tcW w:w="453" w:type="dxa"/>
            <w:shd w:val="clear" w:color="auto" w:fill="E5DFEC"/>
          </w:tcPr>
          <w:p w:rsidR="006515F1" w:rsidRDefault="006515F1" w:rsidP="002A1172">
            <w:pPr>
              <w:spacing w:after="0"/>
            </w:pPr>
          </w:p>
        </w:tc>
        <w:tc>
          <w:tcPr>
            <w:tcW w:w="453" w:type="dxa"/>
            <w:shd w:val="clear" w:color="auto" w:fill="E5DFEC"/>
          </w:tcPr>
          <w:p w:rsidR="006515F1" w:rsidRDefault="006515F1" w:rsidP="002A1172">
            <w:pPr>
              <w:spacing w:after="0"/>
            </w:pPr>
          </w:p>
        </w:tc>
        <w:tc>
          <w:tcPr>
            <w:tcW w:w="470" w:type="dxa"/>
            <w:shd w:val="clear" w:color="auto" w:fill="E5DFEC"/>
          </w:tcPr>
          <w:p w:rsidR="006515F1" w:rsidRDefault="006515F1" w:rsidP="002A1172">
            <w:pPr>
              <w:spacing w:after="0"/>
            </w:pPr>
          </w:p>
        </w:tc>
        <w:tc>
          <w:tcPr>
            <w:tcW w:w="470" w:type="dxa"/>
            <w:shd w:val="clear" w:color="auto" w:fill="E5DFEC"/>
          </w:tcPr>
          <w:p w:rsidR="006515F1" w:rsidRDefault="006515F1" w:rsidP="002A1172">
            <w:pPr>
              <w:spacing w:after="0"/>
            </w:pPr>
          </w:p>
        </w:tc>
        <w:tc>
          <w:tcPr>
            <w:tcW w:w="470" w:type="dxa"/>
            <w:tcBorders>
              <w:bottom w:val="single" w:sz="4" w:space="0" w:color="auto"/>
            </w:tcBorders>
            <w:shd w:val="clear" w:color="auto" w:fill="E5DFEC"/>
          </w:tcPr>
          <w:p w:rsidR="006515F1" w:rsidRDefault="006515F1" w:rsidP="002A1172">
            <w:pPr>
              <w:spacing w:after="0"/>
            </w:pPr>
          </w:p>
        </w:tc>
        <w:tc>
          <w:tcPr>
            <w:tcW w:w="453" w:type="dxa"/>
            <w:tcBorders>
              <w:bottom w:val="single" w:sz="4" w:space="0" w:color="auto"/>
            </w:tcBorders>
          </w:tcPr>
          <w:p w:rsidR="006515F1" w:rsidRDefault="006515F1" w:rsidP="002A1172">
            <w:pPr>
              <w:spacing w:after="0"/>
            </w:pPr>
          </w:p>
        </w:tc>
        <w:tc>
          <w:tcPr>
            <w:tcW w:w="453" w:type="dxa"/>
            <w:tcBorders>
              <w:bottom w:val="single" w:sz="4" w:space="0" w:color="auto"/>
            </w:tcBorders>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r>
      <w:tr w:rsidR="006515F1" w:rsidTr="002A1172">
        <w:trPr>
          <w:trHeight w:val="227"/>
          <w:jc w:val="center"/>
        </w:trPr>
        <w:tc>
          <w:tcPr>
            <w:tcW w:w="1833" w:type="dxa"/>
            <w:vAlign w:val="center"/>
          </w:tcPr>
          <w:p w:rsidR="006515F1" w:rsidRPr="00B16312" w:rsidRDefault="006515F1" w:rsidP="002A1172">
            <w:pPr>
              <w:spacing w:after="0"/>
              <w:rPr>
                <w:sz w:val="16"/>
                <w:szCs w:val="16"/>
              </w:rPr>
            </w:pPr>
            <w:r w:rsidRPr="00B16312">
              <w:rPr>
                <w:sz w:val="16"/>
                <w:szCs w:val="16"/>
              </w:rPr>
              <w:t>Oponentura</w:t>
            </w:r>
          </w:p>
        </w:tc>
        <w:tc>
          <w:tcPr>
            <w:tcW w:w="468" w:type="dxa"/>
          </w:tcPr>
          <w:p w:rsidR="006515F1" w:rsidRDefault="006515F1" w:rsidP="002A1172">
            <w:pPr>
              <w:spacing w:after="0"/>
            </w:pPr>
          </w:p>
        </w:tc>
        <w:tc>
          <w:tcPr>
            <w:tcW w:w="468" w:type="dxa"/>
          </w:tcPr>
          <w:p w:rsidR="006515F1" w:rsidRDefault="006515F1" w:rsidP="002A1172">
            <w:pPr>
              <w:spacing w:after="0"/>
            </w:pPr>
          </w:p>
        </w:tc>
        <w:tc>
          <w:tcPr>
            <w:tcW w:w="451" w:type="dxa"/>
          </w:tcPr>
          <w:p w:rsidR="006515F1" w:rsidRDefault="006515F1" w:rsidP="002A1172">
            <w:pPr>
              <w:spacing w:after="0"/>
            </w:pPr>
          </w:p>
        </w:tc>
        <w:tc>
          <w:tcPr>
            <w:tcW w:w="451" w:type="dxa"/>
          </w:tcPr>
          <w:p w:rsidR="006515F1" w:rsidRDefault="006515F1" w:rsidP="002A1172">
            <w:pPr>
              <w:spacing w:after="0"/>
            </w:pPr>
          </w:p>
        </w:tc>
        <w:tc>
          <w:tcPr>
            <w:tcW w:w="452"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70" w:type="dxa"/>
          </w:tcPr>
          <w:p w:rsidR="006515F1" w:rsidRDefault="006515F1" w:rsidP="002A1172">
            <w:pPr>
              <w:spacing w:after="0"/>
            </w:pPr>
          </w:p>
        </w:tc>
        <w:tc>
          <w:tcPr>
            <w:tcW w:w="470" w:type="dxa"/>
          </w:tcPr>
          <w:p w:rsidR="006515F1" w:rsidRDefault="006515F1" w:rsidP="002A1172">
            <w:pPr>
              <w:spacing w:after="0"/>
            </w:pPr>
          </w:p>
        </w:tc>
        <w:tc>
          <w:tcPr>
            <w:tcW w:w="470" w:type="dxa"/>
            <w:shd w:val="clear" w:color="auto" w:fill="CCC0D9"/>
          </w:tcPr>
          <w:p w:rsidR="006515F1" w:rsidRDefault="006515F1" w:rsidP="002A1172">
            <w:pPr>
              <w:spacing w:after="0"/>
            </w:pPr>
          </w:p>
        </w:tc>
        <w:tc>
          <w:tcPr>
            <w:tcW w:w="453" w:type="dxa"/>
            <w:shd w:val="clear" w:color="auto" w:fill="CCC0D9"/>
          </w:tcPr>
          <w:p w:rsidR="006515F1" w:rsidRDefault="006515F1" w:rsidP="002A1172">
            <w:pPr>
              <w:spacing w:after="0"/>
            </w:pPr>
          </w:p>
        </w:tc>
        <w:tc>
          <w:tcPr>
            <w:tcW w:w="453" w:type="dxa"/>
            <w:shd w:val="clear" w:color="auto" w:fill="CCC0D9"/>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r>
      <w:tr w:rsidR="006515F1" w:rsidTr="002A1172">
        <w:trPr>
          <w:trHeight w:val="227"/>
          <w:jc w:val="center"/>
        </w:trPr>
        <w:tc>
          <w:tcPr>
            <w:tcW w:w="1833" w:type="dxa"/>
            <w:vAlign w:val="center"/>
          </w:tcPr>
          <w:p w:rsidR="006515F1" w:rsidRPr="00B16312" w:rsidRDefault="006515F1" w:rsidP="002A1172">
            <w:pPr>
              <w:spacing w:after="0"/>
              <w:rPr>
                <w:sz w:val="16"/>
                <w:szCs w:val="16"/>
              </w:rPr>
            </w:pPr>
            <w:r w:rsidRPr="00B16312">
              <w:rPr>
                <w:sz w:val="16"/>
                <w:szCs w:val="16"/>
              </w:rPr>
              <w:t>Finalizace strategie</w:t>
            </w:r>
          </w:p>
        </w:tc>
        <w:tc>
          <w:tcPr>
            <w:tcW w:w="468" w:type="dxa"/>
          </w:tcPr>
          <w:p w:rsidR="006515F1" w:rsidRDefault="006515F1" w:rsidP="002A1172">
            <w:pPr>
              <w:spacing w:after="0"/>
            </w:pPr>
          </w:p>
        </w:tc>
        <w:tc>
          <w:tcPr>
            <w:tcW w:w="468" w:type="dxa"/>
          </w:tcPr>
          <w:p w:rsidR="006515F1" w:rsidRDefault="006515F1" w:rsidP="002A1172">
            <w:pPr>
              <w:spacing w:after="0"/>
            </w:pPr>
          </w:p>
        </w:tc>
        <w:tc>
          <w:tcPr>
            <w:tcW w:w="451" w:type="dxa"/>
          </w:tcPr>
          <w:p w:rsidR="006515F1" w:rsidRDefault="006515F1" w:rsidP="002A1172">
            <w:pPr>
              <w:spacing w:after="0"/>
            </w:pPr>
          </w:p>
        </w:tc>
        <w:tc>
          <w:tcPr>
            <w:tcW w:w="451" w:type="dxa"/>
          </w:tcPr>
          <w:p w:rsidR="006515F1" w:rsidRDefault="006515F1" w:rsidP="002A1172">
            <w:pPr>
              <w:spacing w:after="0"/>
            </w:pPr>
          </w:p>
        </w:tc>
        <w:tc>
          <w:tcPr>
            <w:tcW w:w="452"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70" w:type="dxa"/>
          </w:tcPr>
          <w:p w:rsidR="006515F1" w:rsidRDefault="006515F1" w:rsidP="002A1172">
            <w:pPr>
              <w:spacing w:after="0"/>
            </w:pPr>
          </w:p>
        </w:tc>
        <w:tc>
          <w:tcPr>
            <w:tcW w:w="470" w:type="dxa"/>
          </w:tcPr>
          <w:p w:rsidR="006515F1" w:rsidRDefault="006515F1" w:rsidP="002A1172">
            <w:pPr>
              <w:spacing w:after="0"/>
            </w:pPr>
          </w:p>
        </w:tc>
        <w:tc>
          <w:tcPr>
            <w:tcW w:w="470"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shd w:val="clear" w:color="auto" w:fill="B2A1C7"/>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r>
      <w:tr w:rsidR="006515F1" w:rsidTr="002A1172">
        <w:trPr>
          <w:trHeight w:val="227"/>
          <w:jc w:val="center"/>
        </w:trPr>
        <w:tc>
          <w:tcPr>
            <w:tcW w:w="1833" w:type="dxa"/>
            <w:vAlign w:val="center"/>
          </w:tcPr>
          <w:p w:rsidR="006515F1" w:rsidRPr="00B16312" w:rsidRDefault="006515F1" w:rsidP="002A1172">
            <w:pPr>
              <w:spacing w:after="0"/>
              <w:rPr>
                <w:sz w:val="16"/>
                <w:szCs w:val="16"/>
              </w:rPr>
            </w:pPr>
            <w:r w:rsidRPr="00B16312">
              <w:rPr>
                <w:sz w:val="16"/>
                <w:szCs w:val="16"/>
              </w:rPr>
              <w:t>projednání rozvojová strategie a konkrétní řešení rozvoje</w:t>
            </w:r>
          </w:p>
        </w:tc>
        <w:tc>
          <w:tcPr>
            <w:tcW w:w="468" w:type="dxa"/>
          </w:tcPr>
          <w:p w:rsidR="006515F1" w:rsidRDefault="006515F1" w:rsidP="002A1172">
            <w:pPr>
              <w:spacing w:after="0"/>
            </w:pPr>
          </w:p>
        </w:tc>
        <w:tc>
          <w:tcPr>
            <w:tcW w:w="468" w:type="dxa"/>
          </w:tcPr>
          <w:p w:rsidR="006515F1" w:rsidRDefault="006515F1" w:rsidP="002A1172">
            <w:pPr>
              <w:spacing w:after="0"/>
            </w:pPr>
          </w:p>
        </w:tc>
        <w:tc>
          <w:tcPr>
            <w:tcW w:w="451" w:type="dxa"/>
          </w:tcPr>
          <w:p w:rsidR="006515F1" w:rsidRDefault="006515F1" w:rsidP="002A1172">
            <w:pPr>
              <w:spacing w:after="0"/>
            </w:pPr>
          </w:p>
        </w:tc>
        <w:tc>
          <w:tcPr>
            <w:tcW w:w="451" w:type="dxa"/>
          </w:tcPr>
          <w:p w:rsidR="006515F1" w:rsidRDefault="006515F1" w:rsidP="002A1172">
            <w:pPr>
              <w:spacing w:after="0"/>
            </w:pPr>
          </w:p>
        </w:tc>
        <w:tc>
          <w:tcPr>
            <w:tcW w:w="452"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70" w:type="dxa"/>
          </w:tcPr>
          <w:p w:rsidR="006515F1" w:rsidRDefault="006515F1" w:rsidP="002A1172">
            <w:pPr>
              <w:spacing w:after="0"/>
            </w:pPr>
          </w:p>
        </w:tc>
        <w:tc>
          <w:tcPr>
            <w:tcW w:w="470" w:type="dxa"/>
          </w:tcPr>
          <w:p w:rsidR="006515F1" w:rsidRDefault="006515F1" w:rsidP="002A1172">
            <w:pPr>
              <w:spacing w:after="0"/>
            </w:pPr>
          </w:p>
        </w:tc>
        <w:tc>
          <w:tcPr>
            <w:tcW w:w="470"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c>
          <w:tcPr>
            <w:tcW w:w="453" w:type="dxa"/>
            <w:shd w:val="clear" w:color="auto" w:fill="5F497A"/>
          </w:tcPr>
          <w:p w:rsidR="006515F1" w:rsidRDefault="006515F1" w:rsidP="002A1172">
            <w:pPr>
              <w:spacing w:after="0"/>
            </w:pPr>
          </w:p>
        </w:tc>
        <w:tc>
          <w:tcPr>
            <w:tcW w:w="453" w:type="dxa"/>
          </w:tcPr>
          <w:p w:rsidR="006515F1" w:rsidRDefault="006515F1" w:rsidP="002A1172">
            <w:pPr>
              <w:spacing w:after="0"/>
            </w:pPr>
          </w:p>
        </w:tc>
        <w:tc>
          <w:tcPr>
            <w:tcW w:w="453" w:type="dxa"/>
          </w:tcPr>
          <w:p w:rsidR="006515F1" w:rsidRDefault="006515F1" w:rsidP="002A1172">
            <w:pPr>
              <w:spacing w:after="0"/>
            </w:pPr>
          </w:p>
        </w:tc>
      </w:tr>
    </w:tbl>
    <w:p w:rsidR="006515F1" w:rsidRDefault="006515F1" w:rsidP="00C92756">
      <w:pPr>
        <w:spacing w:after="120"/>
      </w:pPr>
    </w:p>
    <w:p w:rsidR="00A3420D" w:rsidRDefault="00A3420D" w:rsidP="00C92756">
      <w:pPr>
        <w:spacing w:after="120"/>
        <w:ind w:left="708"/>
        <w:rPr>
          <w:i/>
        </w:rPr>
      </w:pPr>
    </w:p>
    <w:p w:rsidR="0002623E" w:rsidRDefault="0002623E" w:rsidP="00C92756">
      <w:pPr>
        <w:spacing w:after="120"/>
        <w:ind w:left="705" w:hanging="705"/>
        <w:rPr>
          <w:b/>
          <w:sz w:val="24"/>
        </w:rPr>
      </w:pPr>
      <w:r>
        <w:rPr>
          <w:b/>
          <w:sz w:val="24"/>
        </w:rPr>
        <w:t xml:space="preserve">3. </w:t>
      </w:r>
      <w:r>
        <w:rPr>
          <w:b/>
          <w:sz w:val="24"/>
        </w:rPr>
        <w:tab/>
      </w:r>
      <w:r w:rsidRPr="00132F3C">
        <w:rPr>
          <w:b/>
          <w:sz w:val="24"/>
        </w:rPr>
        <w:t xml:space="preserve">Výsledky </w:t>
      </w:r>
      <w:r>
        <w:rPr>
          <w:b/>
          <w:sz w:val="24"/>
        </w:rPr>
        <w:t>zpracování návrhových částí v oblasti odpadového hospodářství, sociálních služeb, školství, voliteln</w:t>
      </w:r>
      <w:r w:rsidR="00A35381">
        <w:rPr>
          <w:b/>
          <w:sz w:val="24"/>
        </w:rPr>
        <w:t>ého tématu</w:t>
      </w:r>
    </w:p>
    <w:p w:rsidR="00C92756" w:rsidRPr="00C92756" w:rsidRDefault="00C92756" w:rsidP="00C92756">
      <w:pPr>
        <w:rPr>
          <w:b/>
          <w:u w:val="single"/>
        </w:rPr>
      </w:pPr>
      <w:r w:rsidRPr="00C92756">
        <w:rPr>
          <w:b/>
          <w:u w:val="single"/>
        </w:rPr>
        <w:t>ŠKOLSTVÍ</w:t>
      </w:r>
    </w:p>
    <w:p w:rsidR="00C92756" w:rsidRDefault="00C92756" w:rsidP="00C92756">
      <w:r>
        <w:t xml:space="preserve">Problémový okruh 1 </w:t>
      </w:r>
      <w:r w:rsidRPr="00B97172">
        <w:rPr>
          <w:b/>
        </w:rPr>
        <w:t>VYSOKÁ FINANČNÍ NÁROČNOST OBECNÍHO ŠKOLSTVÍ</w:t>
      </w:r>
    </w:p>
    <w:p w:rsidR="00C92756" w:rsidRDefault="00C92756" w:rsidP="00C92756">
      <w:pPr>
        <w:ind w:left="426"/>
      </w:pPr>
      <w:r>
        <w:t xml:space="preserve">Cíl 1.1 </w:t>
      </w:r>
      <w:r w:rsidRPr="002D5DAA">
        <w:rPr>
          <w:b/>
        </w:rPr>
        <w:t>Zavést společný systém nakupování služeb a materiálu</w:t>
      </w:r>
    </w:p>
    <w:p w:rsidR="00C92756" w:rsidRDefault="00C92756" w:rsidP="00C92756">
      <w:pPr>
        <w:ind w:left="426"/>
      </w:pPr>
      <w:r>
        <w:t xml:space="preserve">Cíl 1.2 </w:t>
      </w:r>
      <w:r w:rsidRPr="002D5DAA">
        <w:rPr>
          <w:b/>
        </w:rPr>
        <w:t>Zavést společný autobus – odvoz dětí na akce a soutěže</w:t>
      </w:r>
    </w:p>
    <w:p w:rsidR="00C92756" w:rsidRDefault="00C92756" w:rsidP="00C92756">
      <w:pPr>
        <w:ind w:left="426"/>
      </w:pPr>
      <w:r>
        <w:t xml:space="preserve">Cíl 1.3 </w:t>
      </w:r>
      <w:r w:rsidRPr="002D5DAA">
        <w:rPr>
          <w:b/>
        </w:rPr>
        <w:t>Zavést společnou organizaci akcí</w:t>
      </w:r>
    </w:p>
    <w:p w:rsidR="00B126D9" w:rsidRPr="007708CB" w:rsidRDefault="00B126D9" w:rsidP="00B126D9">
      <w:pPr>
        <w:rPr>
          <w:b/>
          <w:i/>
        </w:rPr>
      </w:pPr>
      <w:r w:rsidRPr="007708CB">
        <w:rPr>
          <w:b/>
          <w:i/>
        </w:rPr>
        <w:t>Indikátorová soustava</w:t>
      </w:r>
    </w:p>
    <w:p w:rsidR="00B126D9" w:rsidRDefault="00B126D9" w:rsidP="00B126D9">
      <w:r>
        <w:t xml:space="preserve">Problémový okruh 1 </w:t>
      </w:r>
      <w:r w:rsidRPr="00B97172">
        <w:rPr>
          <w:b/>
        </w:rPr>
        <w:t>Vysoká finanční náročnost obecního školství</w:t>
      </w:r>
    </w:p>
    <w:p w:rsidR="00B126D9" w:rsidRDefault="00B126D9" w:rsidP="00B126D9">
      <w:pPr>
        <w:ind w:left="851"/>
      </w:pPr>
      <w:r w:rsidRPr="00821DB1">
        <w:t>Indikátor výsledku A Udržení neinvestičních nákladů škol na současné úrovni</w:t>
      </w:r>
      <w:r>
        <w:t xml:space="preserve"> </w:t>
      </w:r>
    </w:p>
    <w:p w:rsidR="00B126D9" w:rsidRDefault="00B126D9" w:rsidP="00B126D9">
      <w:pPr>
        <w:ind w:left="426"/>
      </w:pPr>
      <w:r>
        <w:t xml:space="preserve">Cíl 1.1 </w:t>
      </w:r>
      <w:r w:rsidRPr="002D5DAA">
        <w:rPr>
          <w:b/>
        </w:rPr>
        <w:t>Zavést společný systém nakupování služeb a materiálu</w:t>
      </w:r>
    </w:p>
    <w:p w:rsidR="00B126D9" w:rsidRDefault="00B126D9" w:rsidP="00B126D9">
      <w:pPr>
        <w:ind w:left="851"/>
      </w:pPr>
      <w:r w:rsidRPr="00A71DB0">
        <w:t>Indikátor výstupu</w:t>
      </w:r>
      <w:r>
        <w:t xml:space="preserve"> A1 </w:t>
      </w:r>
      <w:r w:rsidRPr="002D5DAA">
        <w:t>Počet zapojených subjektů - škol</w:t>
      </w:r>
    </w:p>
    <w:p w:rsidR="00B126D9" w:rsidRDefault="00B126D9" w:rsidP="00B126D9">
      <w:pPr>
        <w:ind w:left="426"/>
      </w:pPr>
      <w:r>
        <w:t xml:space="preserve">Cíl 1.2 </w:t>
      </w:r>
      <w:r w:rsidRPr="002D5DAA">
        <w:rPr>
          <w:b/>
        </w:rPr>
        <w:t>Zavést společný autobus – odvoz dětí na akce a soutěže</w:t>
      </w:r>
    </w:p>
    <w:p w:rsidR="00B126D9" w:rsidRDefault="00B126D9" w:rsidP="00B126D9">
      <w:pPr>
        <w:ind w:left="851"/>
      </w:pPr>
      <w:r w:rsidRPr="00A71DB0">
        <w:t>Indikátor výstupu</w:t>
      </w:r>
      <w:r>
        <w:t xml:space="preserve"> A2 </w:t>
      </w:r>
      <w:r w:rsidRPr="002D5DAA">
        <w:t>Počet zapojených subjektů - škol</w:t>
      </w:r>
    </w:p>
    <w:p w:rsidR="00B126D9" w:rsidRDefault="00B126D9" w:rsidP="00B126D9">
      <w:pPr>
        <w:ind w:left="426"/>
      </w:pPr>
      <w:r>
        <w:t xml:space="preserve">Cíl 1.3 </w:t>
      </w:r>
      <w:r w:rsidRPr="002D5DAA">
        <w:rPr>
          <w:b/>
        </w:rPr>
        <w:t>Zavést společnou organizaci akcí</w:t>
      </w:r>
    </w:p>
    <w:p w:rsidR="00B126D9" w:rsidRDefault="00B126D9" w:rsidP="00B126D9">
      <w:pPr>
        <w:ind w:left="851"/>
      </w:pPr>
      <w:r w:rsidRPr="00A71DB0">
        <w:t>Indikátor výstupu</w:t>
      </w:r>
      <w:r>
        <w:t xml:space="preserve"> A3 </w:t>
      </w:r>
      <w:r w:rsidRPr="002D5DAA">
        <w:t>Počet zapojených subjektů - škol</w:t>
      </w:r>
    </w:p>
    <w:p w:rsidR="00C92756" w:rsidRPr="00A35381" w:rsidRDefault="00A35381" w:rsidP="00C92756">
      <w:pPr>
        <w:rPr>
          <w:b/>
          <w:u w:val="single"/>
        </w:rPr>
      </w:pPr>
      <w:r w:rsidRPr="00A35381">
        <w:rPr>
          <w:b/>
          <w:u w:val="single"/>
        </w:rPr>
        <w:lastRenderedPageBreak/>
        <w:t>SOCIÁLNÍ SLUŽBY</w:t>
      </w:r>
    </w:p>
    <w:p w:rsidR="00A35381" w:rsidRDefault="00A35381" w:rsidP="00A35381">
      <w:r w:rsidRPr="00A0307E">
        <w:t xml:space="preserve">Pro </w:t>
      </w:r>
      <w:r>
        <w:t>řešení oblasti byl</w:t>
      </w:r>
      <w:r w:rsidRPr="00A0307E">
        <w:t xml:space="preserve"> defi</w:t>
      </w:r>
      <w:r>
        <w:t>nován</w:t>
      </w:r>
      <w:r w:rsidRPr="00A0307E">
        <w:t xml:space="preserve"> </w:t>
      </w:r>
      <w:r>
        <w:t>dva</w:t>
      </w:r>
      <w:r w:rsidRPr="00A0307E">
        <w:t xml:space="preserve"> problémov</w:t>
      </w:r>
      <w:r>
        <w:t>é okruhy</w:t>
      </w:r>
      <w:r w:rsidRPr="00A0307E">
        <w:t xml:space="preserve"> obsahující celkem </w:t>
      </w:r>
      <w:r>
        <w:t>jedenáct cílů</w:t>
      </w:r>
      <w:r w:rsidRPr="00A0307E">
        <w:t>.</w:t>
      </w:r>
    </w:p>
    <w:p w:rsidR="00A35381" w:rsidRDefault="00A35381" w:rsidP="00A35381">
      <w:r>
        <w:t xml:space="preserve">Problémový okruh 1 </w:t>
      </w:r>
      <w:r w:rsidRPr="00683721">
        <w:rPr>
          <w:b/>
        </w:rPr>
        <w:t>PODPORA RODINY</w:t>
      </w:r>
    </w:p>
    <w:p w:rsidR="00A35381" w:rsidRDefault="00A35381" w:rsidP="00A35381">
      <w:pPr>
        <w:ind w:left="426"/>
      </w:pPr>
      <w:r>
        <w:t xml:space="preserve">Cíl 1.1 </w:t>
      </w:r>
      <w:r w:rsidRPr="00683721">
        <w:rPr>
          <w:b/>
        </w:rPr>
        <w:t>Podpora služeb pro matky a děti ohrožené domácím násilím</w:t>
      </w:r>
    </w:p>
    <w:p w:rsidR="00A35381" w:rsidRDefault="00A35381" w:rsidP="00A35381">
      <w:pPr>
        <w:ind w:left="1134" w:hanging="708"/>
      </w:pPr>
      <w:r>
        <w:t xml:space="preserve">Cíl 1.2 </w:t>
      </w:r>
      <w:r w:rsidRPr="00633170">
        <w:rPr>
          <w:b/>
        </w:rPr>
        <w:t>Podpora vzniku občanské poradny</w:t>
      </w:r>
    </w:p>
    <w:p w:rsidR="00A35381" w:rsidRDefault="00A35381" w:rsidP="00A35381">
      <w:pPr>
        <w:ind w:left="1134" w:hanging="708"/>
      </w:pPr>
      <w:r>
        <w:t xml:space="preserve">Cíl 1.3 </w:t>
      </w:r>
      <w:r w:rsidRPr="00633170">
        <w:rPr>
          <w:b/>
        </w:rPr>
        <w:t>Podpora, udržení a rozšíření služeb NZDM</w:t>
      </w:r>
    </w:p>
    <w:p w:rsidR="00A35381" w:rsidRDefault="00A35381" w:rsidP="00A35381">
      <w:pPr>
        <w:ind w:left="1134" w:hanging="708"/>
      </w:pPr>
      <w:r>
        <w:t xml:space="preserve">Cíl 1.4 </w:t>
      </w:r>
      <w:r w:rsidRPr="00633170">
        <w:rPr>
          <w:b/>
        </w:rPr>
        <w:t>Zvýšení počtu sociálních bytů</w:t>
      </w:r>
    </w:p>
    <w:p w:rsidR="00A35381" w:rsidRDefault="00A35381" w:rsidP="00A35381">
      <w:pPr>
        <w:ind w:left="1134" w:hanging="708"/>
      </w:pPr>
      <w:r>
        <w:t xml:space="preserve">Cíl 1.5 </w:t>
      </w:r>
      <w:r w:rsidRPr="00633170">
        <w:rPr>
          <w:b/>
        </w:rPr>
        <w:t>Podpora rozvoje sanace rodiny</w:t>
      </w:r>
    </w:p>
    <w:p w:rsidR="00A35381" w:rsidRDefault="00A35381" w:rsidP="00A35381">
      <w:pPr>
        <w:ind w:left="426"/>
      </w:pPr>
      <w:r>
        <w:t xml:space="preserve">Cíl 1.6 </w:t>
      </w:r>
      <w:r w:rsidRPr="00633170">
        <w:rPr>
          <w:b/>
        </w:rPr>
        <w:t>Podpora sociálně aktivizačních služeb</w:t>
      </w:r>
    </w:p>
    <w:p w:rsidR="00A35381" w:rsidRDefault="00A35381" w:rsidP="00A35381">
      <w:pPr>
        <w:ind w:left="1134" w:hanging="708"/>
      </w:pPr>
      <w:r>
        <w:t xml:space="preserve">Cíl 1.7 </w:t>
      </w:r>
      <w:r w:rsidRPr="00633170">
        <w:rPr>
          <w:b/>
        </w:rPr>
        <w:t>Psychologická a terapeutická pomoc rodičům a dětem</w:t>
      </w:r>
    </w:p>
    <w:p w:rsidR="00A35381" w:rsidRDefault="00A35381" w:rsidP="00A35381">
      <w:pPr>
        <w:ind w:left="1134" w:hanging="708"/>
      </w:pPr>
      <w:r>
        <w:t xml:space="preserve">Cíl 1.8 </w:t>
      </w:r>
      <w:r w:rsidRPr="00633170">
        <w:rPr>
          <w:b/>
        </w:rPr>
        <w:t>Podpora mediace</w:t>
      </w:r>
    </w:p>
    <w:p w:rsidR="00A35381" w:rsidRDefault="00A35381" w:rsidP="00A35381">
      <w:r>
        <w:t xml:space="preserve">Problémový okruh 2 </w:t>
      </w:r>
      <w:r w:rsidRPr="00633170">
        <w:rPr>
          <w:b/>
        </w:rPr>
        <w:t>PODPORA ZAMĚSTNANOSTI</w:t>
      </w:r>
    </w:p>
    <w:p w:rsidR="00A35381" w:rsidRDefault="00A35381" w:rsidP="00A35381">
      <w:pPr>
        <w:ind w:left="426"/>
      </w:pPr>
      <w:r>
        <w:t xml:space="preserve">Cíl 2.1 </w:t>
      </w:r>
      <w:r w:rsidRPr="00633170">
        <w:rPr>
          <w:b/>
        </w:rPr>
        <w:t>Podpora a rozvoj sociální rehabilitace</w:t>
      </w:r>
    </w:p>
    <w:p w:rsidR="00A35381" w:rsidRDefault="00A35381" w:rsidP="00A35381">
      <w:pPr>
        <w:ind w:left="426"/>
      </w:pPr>
      <w:r>
        <w:t xml:space="preserve">Cíl 2.2 </w:t>
      </w:r>
      <w:r>
        <w:rPr>
          <w:b/>
        </w:rPr>
        <w:t>Chráněná pracovní</w:t>
      </w:r>
      <w:r w:rsidRPr="000E64A7">
        <w:rPr>
          <w:b/>
        </w:rPr>
        <w:t xml:space="preserve"> míst</w:t>
      </w:r>
      <w:r>
        <w:rPr>
          <w:b/>
        </w:rPr>
        <w:t>a</w:t>
      </w:r>
    </w:p>
    <w:p w:rsidR="00A35381" w:rsidRDefault="00A35381" w:rsidP="00A35381">
      <w:pPr>
        <w:ind w:left="426"/>
      </w:pPr>
      <w:r>
        <w:t xml:space="preserve">Cíl 2.3 </w:t>
      </w:r>
      <w:r w:rsidRPr="00633170">
        <w:rPr>
          <w:b/>
        </w:rPr>
        <w:t>Podpora pracovních příležitostí pro rodiče dětí po návratu z MD a osoby pečující</w:t>
      </w:r>
    </w:p>
    <w:p w:rsidR="00A35381" w:rsidRPr="00027E00" w:rsidRDefault="00A35381" w:rsidP="00A35381">
      <w:pPr>
        <w:pStyle w:val="Normlnweb"/>
        <w:spacing w:before="0" w:after="200"/>
        <w:rPr>
          <w:rFonts w:ascii="Calibri" w:hAnsi="Calibri"/>
          <w:sz w:val="22"/>
          <w:szCs w:val="22"/>
        </w:rPr>
      </w:pPr>
      <w:r w:rsidRPr="00027E00">
        <w:rPr>
          <w:rFonts w:ascii="Calibri" w:hAnsi="Calibri"/>
          <w:sz w:val="22"/>
          <w:szCs w:val="22"/>
        </w:rPr>
        <w:t>Efektivní sociální služby reagují flexibilně na proměny potřeb, které se v čase mění. Tyto potřeby, které jsou ukazatelem pro existenci sociálních služeb na daném území</w:t>
      </w:r>
      <w:r>
        <w:rPr>
          <w:rFonts w:ascii="Calibri" w:hAnsi="Calibri"/>
          <w:sz w:val="22"/>
          <w:szCs w:val="22"/>
        </w:rPr>
        <w:t>,</w:t>
      </w:r>
      <w:r w:rsidRPr="00027E00">
        <w:rPr>
          <w:rFonts w:ascii="Calibri" w:hAnsi="Calibri"/>
          <w:sz w:val="22"/>
          <w:szCs w:val="22"/>
        </w:rPr>
        <w:t xml:space="preserve"> se mění v závislosti na demografických změnách, migraci obyvatel, ekonomických a společenských jevech. Oblast sociálních služeb je velmi dynamickou oblastí, má-li být efektivní a aktuální vzhledem ke vzniklým potřebám dané lokality.</w:t>
      </w:r>
    </w:p>
    <w:p w:rsidR="00A35381" w:rsidRPr="00027E00" w:rsidRDefault="00A35381" w:rsidP="00A35381">
      <w:pPr>
        <w:pStyle w:val="Normlnweb"/>
        <w:spacing w:before="0" w:after="200"/>
        <w:rPr>
          <w:rFonts w:ascii="Calibri" w:hAnsi="Calibri"/>
          <w:sz w:val="22"/>
          <w:szCs w:val="22"/>
        </w:rPr>
      </w:pPr>
      <w:r w:rsidRPr="00027E00">
        <w:rPr>
          <w:rFonts w:ascii="Calibri" w:hAnsi="Calibri"/>
          <w:sz w:val="22"/>
          <w:szCs w:val="22"/>
        </w:rPr>
        <w:t>Správní území ORP Benešov je územím, které má své specifické potřeby, které byly zjišťovány na základě analýz uvedených výše, viz analytická č</w:t>
      </w:r>
      <w:r>
        <w:rPr>
          <w:rFonts w:ascii="Calibri" w:hAnsi="Calibri"/>
          <w:sz w:val="22"/>
          <w:szCs w:val="22"/>
        </w:rPr>
        <w:t>ást strategie. Sociální služby</w:t>
      </w:r>
      <w:r w:rsidRPr="00027E00">
        <w:rPr>
          <w:rFonts w:ascii="Calibri" w:hAnsi="Calibri"/>
          <w:sz w:val="22"/>
          <w:szCs w:val="22"/>
        </w:rPr>
        <w:t xml:space="preserve"> a aktuální potřeby byly za spoluprá</w:t>
      </w:r>
      <w:r>
        <w:rPr>
          <w:rFonts w:ascii="Calibri" w:hAnsi="Calibri"/>
          <w:sz w:val="22"/>
          <w:szCs w:val="22"/>
        </w:rPr>
        <w:t>ce s městem Benešov (</w:t>
      </w:r>
      <w:r w:rsidRPr="00027E00">
        <w:rPr>
          <w:rFonts w:ascii="Calibri" w:hAnsi="Calibri"/>
          <w:sz w:val="22"/>
          <w:szCs w:val="22"/>
        </w:rPr>
        <w:t>projekt Podpora procesu komunitního plánování sociálních služeb, č.</w:t>
      </w:r>
      <w:r>
        <w:rPr>
          <w:rFonts w:ascii="Calibri" w:hAnsi="Calibri"/>
          <w:sz w:val="22"/>
          <w:szCs w:val="22"/>
        </w:rPr>
        <w:t xml:space="preserve"> </w:t>
      </w:r>
      <w:r w:rsidRPr="00027E00">
        <w:rPr>
          <w:rFonts w:ascii="Calibri" w:hAnsi="Calibri"/>
          <w:sz w:val="22"/>
          <w:szCs w:val="22"/>
        </w:rPr>
        <w:t>CZ.1.04/3.1.03/97.00044) podrobeny rozsáhlému zkoumání. Na základě těchto zkoumání a dalších aktivit vedoucích ke zjišťování objektivních potřeb v rámci správního obvodu bylo definováno 8 oblastí:</w:t>
      </w:r>
    </w:p>
    <w:p w:rsidR="00A35381" w:rsidRPr="00027E00" w:rsidRDefault="00A35381" w:rsidP="00A35381">
      <w:pPr>
        <w:pStyle w:val="Normlnweb"/>
        <w:numPr>
          <w:ilvl w:val="0"/>
          <w:numId w:val="30"/>
        </w:numPr>
        <w:spacing w:before="0" w:after="0"/>
        <w:jc w:val="left"/>
        <w:rPr>
          <w:rFonts w:ascii="Calibri" w:hAnsi="Calibri"/>
          <w:color w:val="000000"/>
          <w:sz w:val="22"/>
          <w:szCs w:val="22"/>
        </w:rPr>
      </w:pPr>
      <w:r w:rsidRPr="00027E00">
        <w:rPr>
          <w:rFonts w:ascii="Calibri" w:hAnsi="Calibri"/>
          <w:color w:val="000000"/>
          <w:sz w:val="22"/>
          <w:szCs w:val="22"/>
        </w:rPr>
        <w:t>Podpora rodiny,</w:t>
      </w:r>
    </w:p>
    <w:p w:rsidR="00A35381" w:rsidRPr="00027E00" w:rsidRDefault="00A35381" w:rsidP="00A35381">
      <w:pPr>
        <w:pStyle w:val="Normlnweb"/>
        <w:numPr>
          <w:ilvl w:val="0"/>
          <w:numId w:val="30"/>
        </w:numPr>
        <w:spacing w:before="0" w:after="0"/>
        <w:jc w:val="left"/>
        <w:rPr>
          <w:rFonts w:ascii="Calibri" w:hAnsi="Calibri"/>
          <w:color w:val="000000"/>
          <w:sz w:val="22"/>
          <w:szCs w:val="22"/>
        </w:rPr>
      </w:pPr>
      <w:r w:rsidRPr="00027E00">
        <w:rPr>
          <w:rFonts w:ascii="Calibri" w:hAnsi="Calibri"/>
          <w:color w:val="000000"/>
          <w:sz w:val="22"/>
          <w:szCs w:val="22"/>
        </w:rPr>
        <w:t>Podpora lidí ohrožených sociálním vyloučením a vyloučených,</w:t>
      </w:r>
    </w:p>
    <w:p w:rsidR="00A35381" w:rsidRPr="00027E00" w:rsidRDefault="00A35381" w:rsidP="00A35381">
      <w:pPr>
        <w:pStyle w:val="Normlnweb"/>
        <w:numPr>
          <w:ilvl w:val="0"/>
          <w:numId w:val="30"/>
        </w:numPr>
        <w:spacing w:before="0" w:after="0"/>
        <w:jc w:val="left"/>
        <w:rPr>
          <w:rFonts w:ascii="Calibri" w:hAnsi="Calibri"/>
          <w:color w:val="000000"/>
          <w:sz w:val="22"/>
          <w:szCs w:val="22"/>
        </w:rPr>
      </w:pPr>
      <w:r w:rsidRPr="00027E00">
        <w:rPr>
          <w:rFonts w:ascii="Calibri" w:hAnsi="Calibri"/>
          <w:color w:val="000000"/>
          <w:sz w:val="22"/>
          <w:szCs w:val="22"/>
        </w:rPr>
        <w:t>Podpora zaměstnanosti,</w:t>
      </w:r>
    </w:p>
    <w:p w:rsidR="00A35381" w:rsidRPr="00027E00" w:rsidRDefault="00A35381" w:rsidP="00A35381">
      <w:pPr>
        <w:pStyle w:val="Normlnweb"/>
        <w:numPr>
          <w:ilvl w:val="0"/>
          <w:numId w:val="30"/>
        </w:numPr>
        <w:spacing w:before="0" w:after="0"/>
        <w:jc w:val="left"/>
        <w:rPr>
          <w:rFonts w:ascii="Calibri" w:hAnsi="Calibri"/>
          <w:color w:val="000000"/>
          <w:sz w:val="22"/>
          <w:szCs w:val="22"/>
        </w:rPr>
      </w:pPr>
      <w:r w:rsidRPr="00027E00">
        <w:rPr>
          <w:rFonts w:ascii="Calibri" w:hAnsi="Calibri"/>
          <w:color w:val="000000"/>
          <w:sz w:val="22"/>
          <w:szCs w:val="22"/>
        </w:rPr>
        <w:t>Podpora samostatnosti osob se zdravotním postižením,</w:t>
      </w:r>
    </w:p>
    <w:p w:rsidR="00A35381" w:rsidRPr="00027E00" w:rsidRDefault="00A35381" w:rsidP="00A35381">
      <w:pPr>
        <w:pStyle w:val="Normlnweb"/>
        <w:numPr>
          <w:ilvl w:val="0"/>
          <w:numId w:val="30"/>
        </w:numPr>
        <w:spacing w:before="0" w:after="0"/>
        <w:jc w:val="left"/>
        <w:rPr>
          <w:rFonts w:ascii="Calibri" w:hAnsi="Calibri"/>
          <w:color w:val="000000"/>
          <w:sz w:val="22"/>
          <w:szCs w:val="22"/>
        </w:rPr>
      </w:pPr>
      <w:r w:rsidRPr="00027E00">
        <w:rPr>
          <w:rFonts w:ascii="Calibri" w:hAnsi="Calibri"/>
          <w:color w:val="000000"/>
          <w:sz w:val="22"/>
          <w:szCs w:val="22"/>
        </w:rPr>
        <w:t>Podpora setrvávání občanů/lidí v domácím prostředí,</w:t>
      </w:r>
    </w:p>
    <w:p w:rsidR="00A35381" w:rsidRPr="00027E00" w:rsidRDefault="00A35381" w:rsidP="00A35381">
      <w:pPr>
        <w:pStyle w:val="Normlnweb"/>
        <w:numPr>
          <w:ilvl w:val="0"/>
          <w:numId w:val="30"/>
        </w:numPr>
        <w:spacing w:before="0" w:after="0"/>
        <w:jc w:val="left"/>
        <w:rPr>
          <w:rFonts w:ascii="Calibri" w:hAnsi="Calibri"/>
          <w:color w:val="000000"/>
          <w:sz w:val="22"/>
          <w:szCs w:val="22"/>
        </w:rPr>
      </w:pPr>
      <w:r w:rsidRPr="00027E00">
        <w:rPr>
          <w:rFonts w:ascii="Calibri" w:hAnsi="Calibri"/>
          <w:color w:val="000000"/>
          <w:sz w:val="22"/>
          <w:szCs w:val="22"/>
        </w:rPr>
        <w:t>Zkvalitňování pobytových sociálních služeb,</w:t>
      </w:r>
    </w:p>
    <w:p w:rsidR="00A35381" w:rsidRPr="00027E00" w:rsidRDefault="00A35381" w:rsidP="00A35381">
      <w:pPr>
        <w:pStyle w:val="Normlnweb"/>
        <w:numPr>
          <w:ilvl w:val="0"/>
          <w:numId w:val="30"/>
        </w:numPr>
        <w:spacing w:before="0" w:after="0"/>
        <w:jc w:val="left"/>
        <w:rPr>
          <w:rFonts w:ascii="Calibri" w:hAnsi="Calibri"/>
          <w:color w:val="000000"/>
          <w:sz w:val="22"/>
          <w:szCs w:val="22"/>
        </w:rPr>
      </w:pPr>
      <w:r w:rsidRPr="00027E00">
        <w:rPr>
          <w:rFonts w:ascii="Calibri" w:hAnsi="Calibri"/>
          <w:color w:val="000000"/>
          <w:sz w:val="22"/>
          <w:szCs w:val="22"/>
        </w:rPr>
        <w:t>Podpora informovanosti,</w:t>
      </w:r>
    </w:p>
    <w:p w:rsidR="00A35381" w:rsidRPr="00027E00" w:rsidRDefault="00A35381" w:rsidP="00A35381">
      <w:pPr>
        <w:pStyle w:val="Normlnweb"/>
        <w:numPr>
          <w:ilvl w:val="0"/>
          <w:numId w:val="30"/>
        </w:numPr>
        <w:spacing w:before="0" w:after="200"/>
        <w:jc w:val="left"/>
        <w:rPr>
          <w:rFonts w:ascii="Calibri" w:hAnsi="Calibri"/>
          <w:color w:val="000000"/>
          <w:sz w:val="22"/>
          <w:szCs w:val="22"/>
        </w:rPr>
      </w:pPr>
      <w:r w:rsidRPr="00027E00">
        <w:rPr>
          <w:rFonts w:ascii="Calibri" w:hAnsi="Calibri"/>
          <w:color w:val="000000"/>
          <w:sz w:val="22"/>
          <w:szCs w:val="22"/>
        </w:rPr>
        <w:t>Podpora komunitního plánování sociálních služeb,</w:t>
      </w:r>
    </w:p>
    <w:p w:rsidR="00A35381" w:rsidRPr="00027E00" w:rsidRDefault="00A35381" w:rsidP="00A35381">
      <w:pPr>
        <w:pStyle w:val="Normlnweb"/>
        <w:spacing w:before="0" w:after="200"/>
        <w:rPr>
          <w:rFonts w:ascii="Calibri" w:hAnsi="Calibri"/>
          <w:sz w:val="22"/>
          <w:szCs w:val="22"/>
        </w:rPr>
      </w:pPr>
      <w:r w:rsidRPr="00027E00">
        <w:rPr>
          <w:rFonts w:ascii="Calibri" w:hAnsi="Calibri"/>
          <w:sz w:val="22"/>
          <w:szCs w:val="22"/>
        </w:rPr>
        <w:t>tyto oblasti jsou dále rozpracovány do 43 cílů</w:t>
      </w:r>
    </w:p>
    <w:p w:rsidR="00A35381" w:rsidRPr="00027E00" w:rsidRDefault="00A35381" w:rsidP="00A35381">
      <w:pPr>
        <w:pStyle w:val="Normlnweb"/>
        <w:spacing w:before="0" w:after="200"/>
        <w:rPr>
          <w:rFonts w:ascii="Calibri" w:hAnsi="Calibri"/>
          <w:sz w:val="22"/>
          <w:szCs w:val="22"/>
        </w:rPr>
      </w:pPr>
      <w:r w:rsidRPr="00027E00">
        <w:rPr>
          <w:rFonts w:ascii="Calibri" w:hAnsi="Calibri"/>
          <w:sz w:val="22"/>
          <w:szCs w:val="22"/>
        </w:rPr>
        <w:lastRenderedPageBreak/>
        <w:t>Vzhledem k tomu, že tedy současně s touto strategií vznikl dokument, který se detailně zabývá a zpracovává oblast sociálních služeb v dané lokalitě, jsou v této oblasti fakticky uvedeny pouze 2 oblasti ze zjištěných 8 a 11 cílů ze 43. V ostatních prioritách a opatřeních tato strategie plně odkazuje na Plán rozvoje sociálních služeb okresu Benešov, který sociální služby detailně zpracoval.</w:t>
      </w:r>
    </w:p>
    <w:p w:rsidR="00A35381" w:rsidRPr="00027E00" w:rsidRDefault="00A35381" w:rsidP="00A35381">
      <w:pPr>
        <w:pStyle w:val="Normlnweb"/>
        <w:spacing w:before="0" w:after="200"/>
        <w:rPr>
          <w:rFonts w:ascii="Calibri" w:hAnsi="Calibri"/>
          <w:sz w:val="22"/>
          <w:szCs w:val="22"/>
        </w:rPr>
      </w:pPr>
      <w:r w:rsidRPr="00027E00">
        <w:rPr>
          <w:rFonts w:ascii="Calibri" w:hAnsi="Calibri"/>
          <w:sz w:val="22"/>
          <w:szCs w:val="22"/>
        </w:rPr>
        <w:t xml:space="preserve">Tento postup byl zvolen vzhledem k efektivitě, obsáhlosti dokumentu KPSS a vzájemné spolupráci s městem Benešov v této oblasti. </w:t>
      </w:r>
    </w:p>
    <w:p w:rsidR="00A35381" w:rsidRDefault="00A35381" w:rsidP="00A35381">
      <w:pPr>
        <w:pStyle w:val="Normlnweb"/>
        <w:spacing w:before="0" w:after="200"/>
        <w:rPr>
          <w:rFonts w:ascii="Calibri" w:hAnsi="Calibri"/>
          <w:sz w:val="22"/>
          <w:szCs w:val="22"/>
          <w:lang w:val="cs-CZ"/>
        </w:rPr>
      </w:pPr>
      <w:r w:rsidRPr="00027E00">
        <w:rPr>
          <w:rFonts w:ascii="Calibri" w:hAnsi="Calibri"/>
          <w:sz w:val="22"/>
          <w:szCs w:val="22"/>
        </w:rPr>
        <w:t>Tato strategie se tedy s jednotlivými výstupy (priority, opatření) uvedenými v Plánu rozvoje sociálních služeb okresu Benešov ztotožňuje a shledává je platnými pro realizaci v l</w:t>
      </w:r>
      <w:r>
        <w:rPr>
          <w:rFonts w:ascii="Calibri" w:hAnsi="Calibri"/>
          <w:sz w:val="22"/>
          <w:szCs w:val="22"/>
        </w:rPr>
        <w:t>etech 2015–</w:t>
      </w:r>
      <w:r w:rsidRPr="00027E00">
        <w:rPr>
          <w:rFonts w:ascii="Calibri" w:hAnsi="Calibri"/>
          <w:sz w:val="22"/>
          <w:szCs w:val="22"/>
        </w:rPr>
        <w:t>2020.</w:t>
      </w:r>
    </w:p>
    <w:p w:rsidR="00B126D9" w:rsidRPr="007708CB" w:rsidRDefault="00B126D9" w:rsidP="00B126D9">
      <w:pPr>
        <w:rPr>
          <w:b/>
          <w:i/>
        </w:rPr>
      </w:pPr>
      <w:r w:rsidRPr="007708CB">
        <w:rPr>
          <w:b/>
          <w:i/>
        </w:rPr>
        <w:t>Indikátorová soustava</w:t>
      </w:r>
    </w:p>
    <w:p w:rsidR="00B126D9" w:rsidRDefault="00B126D9" w:rsidP="00B126D9">
      <w:pPr>
        <w:spacing w:after="0"/>
      </w:pPr>
      <w:r>
        <w:t xml:space="preserve">Problémový okruh 1 </w:t>
      </w:r>
      <w:r w:rsidRPr="00683721">
        <w:rPr>
          <w:b/>
        </w:rPr>
        <w:t>Podpora rodiny</w:t>
      </w:r>
    </w:p>
    <w:p w:rsidR="00B126D9" w:rsidRDefault="00B126D9" w:rsidP="00B126D9">
      <w:pPr>
        <w:spacing w:after="0"/>
        <w:ind w:left="851"/>
      </w:pPr>
      <w:r w:rsidRPr="00C25FB5">
        <w:t xml:space="preserve">Indikátor výsledku A Zvýšení počtu </w:t>
      </w:r>
      <w:r>
        <w:t xml:space="preserve">druhů </w:t>
      </w:r>
      <w:r w:rsidRPr="00C25FB5">
        <w:t>sociálních služeb podporujících rodinu</w:t>
      </w:r>
    </w:p>
    <w:p w:rsidR="00B126D9" w:rsidRDefault="00B126D9" w:rsidP="00B126D9">
      <w:pPr>
        <w:spacing w:after="0"/>
        <w:ind w:left="851"/>
      </w:pPr>
      <w:r>
        <w:t>Indikátor výsledku AA P</w:t>
      </w:r>
      <w:r w:rsidRPr="00427A90">
        <w:t>očet zapojených obcí do společné úhrady poskytování sociálních služeb</w:t>
      </w:r>
    </w:p>
    <w:p w:rsidR="00B126D9" w:rsidRDefault="00B126D9" w:rsidP="00B126D9">
      <w:pPr>
        <w:spacing w:after="0"/>
        <w:ind w:left="426"/>
      </w:pPr>
      <w:r>
        <w:t xml:space="preserve">Cíl 1.1 </w:t>
      </w:r>
      <w:r w:rsidRPr="00683721">
        <w:rPr>
          <w:b/>
        </w:rPr>
        <w:t>Podpora služeb pro matky a děti ohrožené domácím násilím</w:t>
      </w:r>
    </w:p>
    <w:p w:rsidR="00B126D9" w:rsidRDefault="00B126D9" w:rsidP="00B126D9">
      <w:pPr>
        <w:spacing w:after="0"/>
        <w:ind w:left="851"/>
      </w:pPr>
      <w:r w:rsidRPr="00A71DB0">
        <w:t>Indikátor výstupu</w:t>
      </w:r>
      <w:r>
        <w:t xml:space="preserve"> A1 Počet ambulantních, terénní a pobytových služeb</w:t>
      </w:r>
    </w:p>
    <w:p w:rsidR="00B126D9" w:rsidRDefault="00B126D9" w:rsidP="00B126D9">
      <w:pPr>
        <w:spacing w:after="0"/>
        <w:ind w:left="851"/>
      </w:pPr>
      <w:r w:rsidRPr="00A71DB0">
        <w:t>Indikátor výstupu</w:t>
      </w:r>
      <w:r>
        <w:t xml:space="preserve"> A2 Počet preventivních a osvětových aktivit</w:t>
      </w:r>
    </w:p>
    <w:p w:rsidR="00B126D9" w:rsidRDefault="00B126D9" w:rsidP="00B126D9">
      <w:pPr>
        <w:spacing w:after="0"/>
        <w:ind w:left="1134" w:hanging="708"/>
      </w:pPr>
      <w:r>
        <w:t xml:space="preserve">Cíl 1.2 </w:t>
      </w:r>
      <w:r w:rsidRPr="00633170">
        <w:rPr>
          <w:b/>
        </w:rPr>
        <w:t>Podpora vzniku občanské poradny</w:t>
      </w:r>
    </w:p>
    <w:p w:rsidR="00B126D9" w:rsidRDefault="00B126D9" w:rsidP="00B126D9">
      <w:pPr>
        <w:spacing w:after="0"/>
        <w:ind w:left="851"/>
      </w:pPr>
      <w:r w:rsidRPr="00A71DB0">
        <w:t>Indikátor výstupu</w:t>
      </w:r>
      <w:r>
        <w:t xml:space="preserve"> A3 Počet občanských poraden</w:t>
      </w:r>
    </w:p>
    <w:p w:rsidR="00B126D9" w:rsidRDefault="00B126D9" w:rsidP="00B126D9">
      <w:pPr>
        <w:spacing w:after="0"/>
        <w:ind w:left="1134" w:hanging="708"/>
      </w:pPr>
      <w:r>
        <w:t xml:space="preserve">Cíl 1.3 </w:t>
      </w:r>
      <w:r w:rsidRPr="00633170">
        <w:rPr>
          <w:b/>
        </w:rPr>
        <w:t>Podpora, udržení a rozšíření služeb NZDM</w:t>
      </w:r>
    </w:p>
    <w:p w:rsidR="00B126D9" w:rsidRDefault="00B126D9" w:rsidP="00B126D9">
      <w:pPr>
        <w:spacing w:after="0"/>
        <w:ind w:left="851"/>
      </w:pPr>
      <w:r w:rsidRPr="00A71DB0">
        <w:t>Indikátor výstupu</w:t>
      </w:r>
      <w:r>
        <w:t xml:space="preserve"> A4 Počet nízkoprahových zařízení pro děti a mládež pro děti a mládež od 12 do 26 let</w:t>
      </w:r>
    </w:p>
    <w:p w:rsidR="00B126D9" w:rsidRDefault="00B126D9" w:rsidP="00B126D9">
      <w:pPr>
        <w:spacing w:after="0"/>
        <w:ind w:left="1134" w:hanging="708"/>
      </w:pPr>
      <w:r>
        <w:t xml:space="preserve">Cíl 1.4 </w:t>
      </w:r>
      <w:r w:rsidRPr="00633170">
        <w:rPr>
          <w:b/>
        </w:rPr>
        <w:t>Zvýšení počtu sociálních bytů</w:t>
      </w:r>
    </w:p>
    <w:p w:rsidR="00B126D9" w:rsidRDefault="00B126D9" w:rsidP="00B126D9">
      <w:pPr>
        <w:spacing w:after="0"/>
        <w:ind w:left="851"/>
      </w:pPr>
      <w:r w:rsidRPr="00A71DB0">
        <w:t>Indikátor výstupu</w:t>
      </w:r>
      <w:r>
        <w:t xml:space="preserve"> A5 Zvýšení počtu sociálních bytů</w:t>
      </w:r>
    </w:p>
    <w:p w:rsidR="00B126D9" w:rsidRDefault="00B126D9" w:rsidP="00B126D9">
      <w:pPr>
        <w:spacing w:after="0"/>
        <w:ind w:left="1134" w:hanging="708"/>
      </w:pPr>
      <w:r>
        <w:t xml:space="preserve">Cíl 1.5 </w:t>
      </w:r>
      <w:r w:rsidRPr="00633170">
        <w:rPr>
          <w:b/>
        </w:rPr>
        <w:t>Podpora rozvoje sanace rodiny</w:t>
      </w:r>
    </w:p>
    <w:p w:rsidR="00B126D9" w:rsidRDefault="00B126D9" w:rsidP="00B126D9">
      <w:pPr>
        <w:spacing w:after="0"/>
        <w:ind w:left="851"/>
      </w:pPr>
      <w:r w:rsidRPr="00A71DB0">
        <w:t>Indikátor výstupu</w:t>
      </w:r>
      <w:r>
        <w:t xml:space="preserve"> A6 Počet sanačních pracovníků</w:t>
      </w:r>
    </w:p>
    <w:p w:rsidR="00B126D9" w:rsidRDefault="00B126D9" w:rsidP="00B126D9">
      <w:pPr>
        <w:spacing w:after="0"/>
        <w:ind w:left="426"/>
      </w:pPr>
      <w:r>
        <w:t xml:space="preserve">Cíl 1.6 </w:t>
      </w:r>
      <w:r w:rsidRPr="00633170">
        <w:rPr>
          <w:b/>
        </w:rPr>
        <w:t>Podpora sociálně aktivizačních služeb</w:t>
      </w:r>
    </w:p>
    <w:p w:rsidR="00B126D9" w:rsidRDefault="00B126D9" w:rsidP="00B126D9">
      <w:pPr>
        <w:spacing w:after="0"/>
        <w:ind w:left="851"/>
      </w:pPr>
      <w:r w:rsidRPr="00A71DB0">
        <w:t>Indikátor výstupu</w:t>
      </w:r>
      <w:r>
        <w:t xml:space="preserve"> A7 Smlouva o poskytování služby </w:t>
      </w:r>
    </w:p>
    <w:p w:rsidR="00B126D9" w:rsidRDefault="00B126D9" w:rsidP="00B126D9">
      <w:pPr>
        <w:spacing w:after="0"/>
        <w:ind w:left="1134" w:hanging="708"/>
      </w:pPr>
      <w:r>
        <w:t xml:space="preserve">Cíl 1.7 </w:t>
      </w:r>
      <w:r w:rsidRPr="00633170">
        <w:rPr>
          <w:b/>
        </w:rPr>
        <w:t>Psychologická a terapeutická pomoc rodičům a dětem</w:t>
      </w:r>
    </w:p>
    <w:p w:rsidR="00B126D9" w:rsidRDefault="00B126D9" w:rsidP="00B126D9">
      <w:pPr>
        <w:spacing w:after="0"/>
        <w:ind w:left="851"/>
      </w:pPr>
      <w:r w:rsidRPr="00A71DB0">
        <w:t>Indikátor výstupu</w:t>
      </w:r>
      <w:r>
        <w:t xml:space="preserve"> A8 Zvýšení počtu poskytovatelů psychologické a terapeutické pomoci rodičům a dětem</w:t>
      </w:r>
    </w:p>
    <w:p w:rsidR="00B126D9" w:rsidRDefault="00B126D9" w:rsidP="00B126D9">
      <w:pPr>
        <w:spacing w:after="0"/>
        <w:ind w:left="1134" w:hanging="708"/>
      </w:pPr>
      <w:r>
        <w:t xml:space="preserve">Cíl 1.8 </w:t>
      </w:r>
      <w:r w:rsidRPr="00633170">
        <w:rPr>
          <w:b/>
        </w:rPr>
        <w:t>Podpora mediace</w:t>
      </w:r>
    </w:p>
    <w:p w:rsidR="00B126D9" w:rsidRDefault="00B126D9" w:rsidP="00B126D9">
      <w:pPr>
        <w:spacing w:after="0"/>
        <w:ind w:left="851"/>
      </w:pPr>
      <w:r w:rsidRPr="00A71DB0">
        <w:t>Indikátor výstupu</w:t>
      </w:r>
      <w:r>
        <w:t xml:space="preserve"> A9 Počet mediátorů</w:t>
      </w:r>
    </w:p>
    <w:p w:rsidR="00B126D9" w:rsidRDefault="00B126D9" w:rsidP="00B126D9">
      <w:pPr>
        <w:spacing w:after="0"/>
      </w:pPr>
      <w:r>
        <w:t xml:space="preserve">Problémový okruh 2 </w:t>
      </w:r>
      <w:r w:rsidRPr="00633170">
        <w:rPr>
          <w:b/>
        </w:rPr>
        <w:t>Podpora zaměstnanosti</w:t>
      </w:r>
    </w:p>
    <w:p w:rsidR="00B126D9" w:rsidRDefault="00B126D9" w:rsidP="00B126D9">
      <w:pPr>
        <w:spacing w:after="0"/>
        <w:ind w:left="851"/>
      </w:pPr>
      <w:r w:rsidRPr="00C25FB5">
        <w:t xml:space="preserve">Indikátor výsledku B Zvýšení počtu služeb podporující zaměstnatelnost skupin </w:t>
      </w:r>
      <w:r>
        <w:t>sociálně vyloučených</w:t>
      </w:r>
    </w:p>
    <w:p w:rsidR="00B126D9" w:rsidRDefault="00B126D9" w:rsidP="00B126D9">
      <w:pPr>
        <w:spacing w:after="0"/>
        <w:ind w:left="851"/>
      </w:pPr>
      <w:r>
        <w:t>Indikátor výsledku BB P</w:t>
      </w:r>
      <w:r w:rsidRPr="00427A90">
        <w:t>očet zapojených obcí do společné úhrady poskytování sociálních služeb</w:t>
      </w:r>
    </w:p>
    <w:p w:rsidR="00B126D9" w:rsidRDefault="00B126D9" w:rsidP="00B126D9">
      <w:pPr>
        <w:spacing w:after="0"/>
        <w:ind w:left="426"/>
      </w:pPr>
      <w:r>
        <w:t xml:space="preserve">Cíl 2.1 </w:t>
      </w:r>
      <w:r w:rsidRPr="00633170">
        <w:rPr>
          <w:b/>
        </w:rPr>
        <w:t>Podpora a rozvoj sociální rehabilitace</w:t>
      </w:r>
    </w:p>
    <w:p w:rsidR="00B126D9" w:rsidRDefault="00B126D9" w:rsidP="00B126D9">
      <w:pPr>
        <w:spacing w:after="0"/>
        <w:ind w:left="851"/>
      </w:pPr>
      <w:r w:rsidRPr="00A71DB0">
        <w:t>Indikátor výstupu</w:t>
      </w:r>
      <w:r>
        <w:t xml:space="preserve"> B1 Rozšíření kapacity služeb sociální rehabilitace</w:t>
      </w:r>
    </w:p>
    <w:p w:rsidR="00B126D9" w:rsidRDefault="00B126D9" w:rsidP="00B126D9">
      <w:pPr>
        <w:spacing w:after="0"/>
        <w:ind w:left="426"/>
      </w:pPr>
      <w:r>
        <w:t xml:space="preserve">Cíl 2.2 </w:t>
      </w:r>
      <w:r>
        <w:rPr>
          <w:b/>
        </w:rPr>
        <w:t>Chráněná pracovní</w:t>
      </w:r>
      <w:r w:rsidRPr="000F2915">
        <w:rPr>
          <w:b/>
        </w:rPr>
        <w:t xml:space="preserve"> míst</w:t>
      </w:r>
      <w:r>
        <w:rPr>
          <w:b/>
        </w:rPr>
        <w:t>a</w:t>
      </w:r>
    </w:p>
    <w:p w:rsidR="00B126D9" w:rsidRDefault="00B126D9" w:rsidP="00B126D9">
      <w:pPr>
        <w:spacing w:after="0"/>
        <w:ind w:left="851"/>
      </w:pPr>
      <w:r w:rsidRPr="00A71DB0">
        <w:t>Indikátor výstupu</w:t>
      </w:r>
      <w:r>
        <w:t xml:space="preserve"> B2 Počet </w:t>
      </w:r>
      <w:r w:rsidRPr="000F2915">
        <w:t>chráněných pracovních míst</w:t>
      </w:r>
    </w:p>
    <w:p w:rsidR="00B126D9" w:rsidRDefault="00B126D9" w:rsidP="00B126D9">
      <w:pPr>
        <w:spacing w:after="0"/>
        <w:ind w:left="426"/>
      </w:pPr>
      <w:r>
        <w:t xml:space="preserve">Cíl 2.3 </w:t>
      </w:r>
      <w:r w:rsidRPr="00633170">
        <w:rPr>
          <w:b/>
        </w:rPr>
        <w:t>Podpora pracovních příležitostí pro rodiče dětí po návratu z MD a osoby pečující</w:t>
      </w:r>
    </w:p>
    <w:p w:rsidR="00B126D9" w:rsidRDefault="00B126D9" w:rsidP="00B126D9">
      <w:pPr>
        <w:ind w:left="851"/>
      </w:pPr>
      <w:r w:rsidRPr="00A71DB0">
        <w:lastRenderedPageBreak/>
        <w:t>Indikátor výstupu</w:t>
      </w:r>
      <w:r>
        <w:t xml:space="preserve"> B3 </w:t>
      </w:r>
      <w:r w:rsidRPr="000D00C1">
        <w:t>Počet služeb zabývající</w:t>
      </w:r>
      <w:r>
        <w:t>ch se</w:t>
      </w:r>
      <w:r w:rsidRPr="000D00C1">
        <w:t xml:space="preserve"> zaměstnáváním rodičů po návratu z MD a oso</w:t>
      </w:r>
      <w:r>
        <w:t>b</w:t>
      </w:r>
      <w:r w:rsidRPr="000D00C1">
        <w:t xml:space="preserve"> pečující</w:t>
      </w:r>
      <w:r>
        <w:t>ch</w:t>
      </w:r>
    </w:p>
    <w:p w:rsidR="00B126D9" w:rsidRDefault="00B126D9" w:rsidP="00B126D9">
      <w:pPr>
        <w:ind w:left="851"/>
      </w:pPr>
    </w:p>
    <w:p w:rsidR="00A35381" w:rsidRPr="00A35381" w:rsidRDefault="00A35381" w:rsidP="00C92756">
      <w:pPr>
        <w:rPr>
          <w:b/>
          <w:u w:val="single"/>
        </w:rPr>
      </w:pPr>
      <w:r w:rsidRPr="00A35381">
        <w:rPr>
          <w:b/>
          <w:u w:val="single"/>
        </w:rPr>
        <w:t>ODPADOVÉ HOSPODÁŘSTVÍ</w:t>
      </w:r>
    </w:p>
    <w:p w:rsidR="00A35381" w:rsidRDefault="00A35381" w:rsidP="00A35381">
      <w:r w:rsidRPr="00A0307E">
        <w:t xml:space="preserve">Pro </w:t>
      </w:r>
      <w:r>
        <w:t>řešení oblasti byl</w:t>
      </w:r>
      <w:r w:rsidRPr="00A0307E">
        <w:t xml:space="preserve"> defi</w:t>
      </w:r>
      <w:r>
        <w:t>nován</w:t>
      </w:r>
      <w:r w:rsidRPr="00A0307E">
        <w:t xml:space="preserve"> </w:t>
      </w:r>
      <w:r>
        <w:t>jeden</w:t>
      </w:r>
      <w:r w:rsidRPr="00A0307E">
        <w:t xml:space="preserve"> problémov</w:t>
      </w:r>
      <w:r>
        <w:t>ý okruh</w:t>
      </w:r>
      <w:r w:rsidRPr="00A0307E">
        <w:t xml:space="preserve"> obsahující celkem </w:t>
      </w:r>
      <w:r>
        <w:t>dva</w:t>
      </w:r>
      <w:r w:rsidRPr="00A0307E">
        <w:t xml:space="preserve"> cíle.</w:t>
      </w:r>
    </w:p>
    <w:p w:rsidR="00A35381" w:rsidRDefault="00A35381" w:rsidP="00A35381">
      <w:r>
        <w:t xml:space="preserve">Problémový okruh 1 </w:t>
      </w:r>
      <w:r w:rsidRPr="00817F81">
        <w:rPr>
          <w:b/>
        </w:rPr>
        <w:t>NEDOSTATEČNÁ SÍŤ ZAŘÍZENÍ PRO NAKLÁDÁNÍ S ODPADY SO ORP</w:t>
      </w:r>
    </w:p>
    <w:p w:rsidR="00A35381" w:rsidRDefault="00A35381" w:rsidP="00A35381">
      <w:pPr>
        <w:ind w:left="426"/>
      </w:pPr>
      <w:r>
        <w:t xml:space="preserve">Cíl 1.1 </w:t>
      </w:r>
      <w:r w:rsidRPr="00817F81">
        <w:rPr>
          <w:b/>
        </w:rPr>
        <w:t>Sběrné dvory na území SO ORP</w:t>
      </w:r>
    </w:p>
    <w:p w:rsidR="00A35381" w:rsidRDefault="00A35381" w:rsidP="00A35381">
      <w:pPr>
        <w:ind w:left="1134" w:hanging="708"/>
      </w:pPr>
      <w:r>
        <w:t xml:space="preserve">Cíl 1.2 </w:t>
      </w:r>
      <w:r w:rsidRPr="00B27905">
        <w:rPr>
          <w:b/>
        </w:rPr>
        <w:t>Materiálové využití komunálního odpadu a výstavba zařízení pro nakládání s BRKO v SO ORP</w:t>
      </w:r>
    </w:p>
    <w:p w:rsidR="00B126D9" w:rsidRPr="00C27A65" w:rsidRDefault="00B126D9" w:rsidP="00B126D9">
      <w:pPr>
        <w:rPr>
          <w:b/>
          <w:i/>
        </w:rPr>
      </w:pPr>
      <w:r w:rsidRPr="00C27A65">
        <w:rPr>
          <w:b/>
          <w:i/>
        </w:rPr>
        <w:t>Indikátorová soustava</w:t>
      </w:r>
    </w:p>
    <w:p w:rsidR="00B126D9" w:rsidRDefault="00B126D9" w:rsidP="00B126D9">
      <w:r>
        <w:t xml:space="preserve">Problémový okruh 1 </w:t>
      </w:r>
      <w:r w:rsidRPr="00817F81">
        <w:rPr>
          <w:b/>
        </w:rPr>
        <w:t>Nedostatečná síť zařízení pro nakládání s odpady SO ORP</w:t>
      </w:r>
    </w:p>
    <w:p w:rsidR="00B126D9" w:rsidRDefault="00B126D9" w:rsidP="00B126D9">
      <w:pPr>
        <w:ind w:left="851"/>
      </w:pPr>
      <w:r w:rsidRPr="00A71DB0">
        <w:t>Indikátor výsledku</w:t>
      </w:r>
      <w:r>
        <w:t xml:space="preserve"> A </w:t>
      </w:r>
      <w:r w:rsidRPr="0011292E">
        <w:t>Nedostatečná síť zařízení pro nakládání s odpady SO ORP</w:t>
      </w:r>
    </w:p>
    <w:p w:rsidR="00B126D9" w:rsidRDefault="00B126D9" w:rsidP="00B126D9">
      <w:pPr>
        <w:ind w:left="426"/>
      </w:pPr>
      <w:r w:rsidRPr="00E97E18">
        <w:rPr>
          <w:b/>
        </w:rPr>
        <w:t>Cíl 1.1 Sbě</w:t>
      </w:r>
      <w:r w:rsidRPr="00817F81">
        <w:rPr>
          <w:b/>
        </w:rPr>
        <w:t>rné dvory na území SO ORP</w:t>
      </w:r>
    </w:p>
    <w:p w:rsidR="00B126D9" w:rsidRDefault="00B126D9" w:rsidP="00B126D9">
      <w:pPr>
        <w:ind w:left="851"/>
      </w:pPr>
      <w:r w:rsidRPr="00A71DB0">
        <w:t>Indikátor výstupu</w:t>
      </w:r>
      <w:r>
        <w:t xml:space="preserve"> A1 </w:t>
      </w:r>
      <w:r w:rsidRPr="00DC621B">
        <w:t>Počet obcí, které mají smlouvu o využívání některého z nově vybudovaných zařízení</w:t>
      </w:r>
    </w:p>
    <w:p w:rsidR="00B126D9" w:rsidRDefault="00B126D9" w:rsidP="00B126D9">
      <w:pPr>
        <w:ind w:left="851"/>
      </w:pPr>
      <w:r w:rsidRPr="00A71DB0">
        <w:t>Indikátor výstupu</w:t>
      </w:r>
      <w:r>
        <w:t xml:space="preserve"> A2 Počet sběrných dvorů na území ORP</w:t>
      </w:r>
    </w:p>
    <w:p w:rsidR="00B126D9" w:rsidRDefault="00B126D9" w:rsidP="00B126D9">
      <w:pPr>
        <w:ind w:left="1134" w:hanging="708"/>
      </w:pPr>
      <w:r w:rsidRPr="00E97E18">
        <w:rPr>
          <w:b/>
        </w:rPr>
        <w:t xml:space="preserve">Cíl 1.2 </w:t>
      </w:r>
      <w:r w:rsidRPr="00B27905">
        <w:rPr>
          <w:b/>
        </w:rPr>
        <w:t>Materiálové využití komunálního odpadu a výstavba zařízení pro nakládání s BRKO v SO ORP</w:t>
      </w:r>
    </w:p>
    <w:p w:rsidR="00B126D9" w:rsidRDefault="00B126D9" w:rsidP="00B126D9">
      <w:pPr>
        <w:ind w:left="851"/>
      </w:pPr>
      <w:r w:rsidRPr="00A71DB0">
        <w:t>Indikátor výstupu</w:t>
      </w:r>
      <w:r>
        <w:t xml:space="preserve"> A3 Množství materiálově využitelného BRKO (200201, 200108)</w:t>
      </w:r>
    </w:p>
    <w:p w:rsidR="00B126D9" w:rsidRPr="00DC621B" w:rsidRDefault="00B126D9" w:rsidP="00B126D9">
      <w:pPr>
        <w:ind w:left="851"/>
      </w:pPr>
      <w:r w:rsidRPr="00A71DB0">
        <w:t>Indikátor výstupu</w:t>
      </w:r>
      <w:r>
        <w:t xml:space="preserve"> A4  P</w:t>
      </w:r>
      <w:r w:rsidRPr="008C157F">
        <w:t>očet zařízení pro nakládání s BR</w:t>
      </w:r>
      <w:r>
        <w:t>K</w:t>
      </w:r>
      <w:r w:rsidRPr="008C157F">
        <w:t>O v SO ORP</w:t>
      </w:r>
    </w:p>
    <w:p w:rsidR="00B126D9" w:rsidRDefault="00B126D9" w:rsidP="00B126D9">
      <w:pPr>
        <w:ind w:left="851"/>
      </w:pPr>
      <w:r w:rsidRPr="00A71DB0">
        <w:t>Indikátor výstupu</w:t>
      </w:r>
      <w:r>
        <w:t xml:space="preserve"> A5 Počet obcí, které mají zajištěno materiálové využití BRKO v SO ORP</w:t>
      </w:r>
    </w:p>
    <w:p w:rsidR="00B126D9" w:rsidRDefault="00B126D9" w:rsidP="00B126D9">
      <w:pPr>
        <w:ind w:left="851"/>
        <w:rPr>
          <w:b/>
          <w:u w:val="single"/>
        </w:rPr>
      </w:pPr>
    </w:p>
    <w:p w:rsidR="00A35381" w:rsidRPr="00A35381" w:rsidRDefault="00A35381" w:rsidP="00C92756">
      <w:pPr>
        <w:rPr>
          <w:b/>
          <w:u w:val="single"/>
        </w:rPr>
      </w:pPr>
      <w:r w:rsidRPr="00A35381">
        <w:rPr>
          <w:b/>
          <w:u w:val="single"/>
        </w:rPr>
        <w:t>KOORDINACE CESTOVNÍHO RUCHU A KULTURNÍCH AKTIVIT</w:t>
      </w:r>
    </w:p>
    <w:p w:rsidR="00A35381" w:rsidRDefault="00A35381" w:rsidP="00A35381">
      <w:r w:rsidRPr="00A0307E">
        <w:t>Pro řešení oblasti byly definovány dva problémové okruhy obsahující celkem tři cíle.</w:t>
      </w:r>
    </w:p>
    <w:p w:rsidR="00A35381" w:rsidRDefault="00A35381" w:rsidP="00A35381">
      <w:r>
        <w:t xml:space="preserve">Problémový okruh 1 </w:t>
      </w:r>
      <w:r w:rsidRPr="00F92F29">
        <w:rPr>
          <w:b/>
        </w:rPr>
        <w:t>ZAJIŠTĚNÍ PROPAGACE</w:t>
      </w:r>
    </w:p>
    <w:p w:rsidR="00A35381" w:rsidRDefault="00A35381" w:rsidP="00A35381">
      <w:pPr>
        <w:ind w:left="567"/>
      </w:pPr>
      <w:r>
        <w:t xml:space="preserve">Cíl 1.1 </w:t>
      </w:r>
      <w:r w:rsidRPr="00F92F29">
        <w:rPr>
          <w:b/>
        </w:rPr>
        <w:t>Materiální propagace</w:t>
      </w:r>
    </w:p>
    <w:p w:rsidR="00A35381" w:rsidRDefault="00A35381" w:rsidP="00A35381">
      <w:pPr>
        <w:ind w:left="567"/>
      </w:pPr>
      <w:r>
        <w:t xml:space="preserve">Cíl 1.2 </w:t>
      </w:r>
      <w:r w:rsidRPr="00F92F29">
        <w:rPr>
          <w:b/>
        </w:rPr>
        <w:t>Elektronická propagace</w:t>
      </w:r>
    </w:p>
    <w:p w:rsidR="00A35381" w:rsidRDefault="00A35381" w:rsidP="00A35381">
      <w:r>
        <w:t xml:space="preserve">Problémový okruh 2 </w:t>
      </w:r>
      <w:r w:rsidRPr="00F92F29">
        <w:rPr>
          <w:b/>
        </w:rPr>
        <w:t>DESTINAČNÍ MANAGEMENT</w:t>
      </w:r>
    </w:p>
    <w:p w:rsidR="00A35381" w:rsidRDefault="00A35381" w:rsidP="00A35381">
      <w:pPr>
        <w:ind w:left="567"/>
      </w:pPr>
      <w:r>
        <w:lastRenderedPageBreak/>
        <w:t xml:space="preserve">Cíl 2.1 </w:t>
      </w:r>
      <w:r w:rsidRPr="00F92F29">
        <w:rPr>
          <w:b/>
        </w:rPr>
        <w:t>Funkční organizace cestovního ruchu</w:t>
      </w:r>
    </w:p>
    <w:p w:rsidR="00B126D9" w:rsidRPr="00F92F29" w:rsidRDefault="00B126D9" w:rsidP="00B126D9">
      <w:pPr>
        <w:spacing w:after="0"/>
        <w:rPr>
          <w:b/>
          <w:i/>
        </w:rPr>
      </w:pPr>
      <w:r w:rsidRPr="00F92F29">
        <w:rPr>
          <w:b/>
          <w:i/>
        </w:rPr>
        <w:t>Indikátorová soustava</w:t>
      </w:r>
    </w:p>
    <w:p w:rsidR="00B126D9" w:rsidRDefault="00B126D9" w:rsidP="00B126D9">
      <w:pPr>
        <w:spacing w:after="0"/>
      </w:pPr>
      <w:r>
        <w:t xml:space="preserve">Problémový okruh 1 </w:t>
      </w:r>
      <w:r w:rsidRPr="00F92F29">
        <w:rPr>
          <w:b/>
        </w:rPr>
        <w:t>Zajištění propagace</w:t>
      </w:r>
    </w:p>
    <w:p w:rsidR="00B126D9" w:rsidRDefault="00B126D9" w:rsidP="00B126D9">
      <w:pPr>
        <w:spacing w:after="0"/>
        <w:ind w:left="993"/>
      </w:pPr>
      <w:r w:rsidRPr="00A71DB0">
        <w:t>Indikátor výsledku</w:t>
      </w:r>
      <w:r>
        <w:t xml:space="preserve"> A</w:t>
      </w:r>
      <w:r w:rsidRPr="00A71DB0">
        <w:t>:</w:t>
      </w:r>
      <w:r>
        <w:t xml:space="preserve"> Zvýšení počtu propagačních materiálů</w:t>
      </w:r>
    </w:p>
    <w:p w:rsidR="00B126D9" w:rsidRDefault="00B126D9" w:rsidP="00B126D9">
      <w:pPr>
        <w:spacing w:after="0"/>
        <w:ind w:left="993"/>
      </w:pPr>
      <w:r w:rsidRPr="00A71DB0">
        <w:t>Indikátor výsledku</w:t>
      </w:r>
      <w:r>
        <w:t xml:space="preserve"> B</w:t>
      </w:r>
      <w:r w:rsidRPr="00A71DB0">
        <w:t>:</w:t>
      </w:r>
      <w:r>
        <w:t xml:space="preserve"> Zvýšení návštěvnosti portálu cestovního ruchu</w:t>
      </w:r>
    </w:p>
    <w:p w:rsidR="00B126D9" w:rsidRDefault="00B126D9" w:rsidP="00B126D9">
      <w:pPr>
        <w:spacing w:after="0"/>
        <w:ind w:left="567"/>
      </w:pPr>
      <w:r>
        <w:t xml:space="preserve">Cíl 1.1 </w:t>
      </w:r>
      <w:r w:rsidRPr="00F92F29">
        <w:rPr>
          <w:b/>
        </w:rPr>
        <w:t>Materiální propagace</w:t>
      </w:r>
    </w:p>
    <w:p w:rsidR="00B126D9" w:rsidRDefault="00B126D9" w:rsidP="00B126D9">
      <w:pPr>
        <w:spacing w:after="0"/>
        <w:ind w:left="993"/>
        <w:rPr>
          <w:rFonts w:cs="Arial"/>
          <w:i/>
          <w:sz w:val="20"/>
          <w:szCs w:val="20"/>
        </w:rPr>
      </w:pPr>
      <w:r w:rsidRPr="00A71DB0">
        <w:t>Indikátor výstupu</w:t>
      </w:r>
      <w:r>
        <w:t xml:space="preserve"> A1 </w:t>
      </w:r>
      <w:r w:rsidRPr="00797DF8">
        <w:rPr>
          <w:rFonts w:cs="Arial"/>
          <w:i/>
          <w:sz w:val="20"/>
          <w:szCs w:val="20"/>
        </w:rPr>
        <w:t xml:space="preserve">Počet </w:t>
      </w:r>
      <w:r>
        <w:rPr>
          <w:rFonts w:cs="Arial"/>
          <w:i/>
          <w:sz w:val="20"/>
          <w:szCs w:val="20"/>
        </w:rPr>
        <w:t>typů vydaných propagačních materiálů</w:t>
      </w:r>
    </w:p>
    <w:p w:rsidR="00B126D9" w:rsidRDefault="00B126D9" w:rsidP="00B126D9">
      <w:pPr>
        <w:spacing w:after="0"/>
        <w:ind w:left="993"/>
      </w:pPr>
      <w:r w:rsidRPr="00A71DB0">
        <w:t>Indikátor výstupu</w:t>
      </w:r>
      <w:r>
        <w:t xml:space="preserve"> A2 </w:t>
      </w:r>
      <w:r>
        <w:rPr>
          <w:rFonts w:cs="Arial"/>
          <w:i/>
          <w:sz w:val="20"/>
          <w:szCs w:val="20"/>
        </w:rPr>
        <w:t>Počet kusů vydaných propagačních materiálů</w:t>
      </w:r>
    </w:p>
    <w:p w:rsidR="00B126D9" w:rsidRDefault="00B126D9" w:rsidP="00B126D9">
      <w:pPr>
        <w:spacing w:after="0"/>
        <w:ind w:left="567"/>
      </w:pPr>
      <w:r>
        <w:t xml:space="preserve">Cíl 1.2 </w:t>
      </w:r>
      <w:r w:rsidRPr="00F92F29">
        <w:rPr>
          <w:b/>
        </w:rPr>
        <w:t>Elektronická propagace</w:t>
      </w:r>
    </w:p>
    <w:p w:rsidR="00B126D9" w:rsidRDefault="00B126D9" w:rsidP="00B126D9">
      <w:pPr>
        <w:spacing w:after="0"/>
        <w:ind w:left="993"/>
      </w:pPr>
      <w:r w:rsidRPr="00A71DB0">
        <w:t>Indikátor výstupu</w:t>
      </w:r>
      <w:r>
        <w:t xml:space="preserve"> B1 </w:t>
      </w:r>
      <w:r w:rsidRPr="00F92F29">
        <w:t>Návštěvnost portálu cestovního ruchu</w:t>
      </w:r>
    </w:p>
    <w:p w:rsidR="00B126D9" w:rsidRDefault="00B126D9" w:rsidP="00B126D9">
      <w:pPr>
        <w:spacing w:after="0"/>
      </w:pPr>
    </w:p>
    <w:p w:rsidR="00B126D9" w:rsidRDefault="00B126D9" w:rsidP="00B126D9">
      <w:pPr>
        <w:spacing w:after="0"/>
      </w:pPr>
      <w:r>
        <w:t xml:space="preserve">Problémový okruh 2 </w:t>
      </w:r>
      <w:r w:rsidRPr="00F92F29">
        <w:rPr>
          <w:b/>
        </w:rPr>
        <w:t>Destinační management</w:t>
      </w:r>
    </w:p>
    <w:p w:rsidR="00B126D9" w:rsidRDefault="00B126D9" w:rsidP="00B126D9">
      <w:pPr>
        <w:spacing w:after="0"/>
        <w:ind w:left="993"/>
      </w:pPr>
      <w:r w:rsidRPr="00A71DB0">
        <w:t>Indikátor výsledku</w:t>
      </w:r>
      <w:r>
        <w:t xml:space="preserve"> C</w:t>
      </w:r>
      <w:r w:rsidRPr="00A71DB0">
        <w:t>:</w:t>
      </w:r>
      <w:r>
        <w:t xml:space="preserve"> </w:t>
      </w:r>
      <w:r w:rsidRPr="00440F71">
        <w:t>Funguje v regionu organizace cestovního ruchu?</w:t>
      </w:r>
    </w:p>
    <w:p w:rsidR="00B126D9" w:rsidRDefault="00B126D9" w:rsidP="00B126D9">
      <w:pPr>
        <w:spacing w:after="0"/>
        <w:ind w:left="567"/>
      </w:pPr>
      <w:r>
        <w:t xml:space="preserve">Cíl 2.1 </w:t>
      </w:r>
      <w:r w:rsidRPr="00F92F29">
        <w:rPr>
          <w:b/>
        </w:rPr>
        <w:t>Funkční organizace cestovního ruchu</w:t>
      </w:r>
    </w:p>
    <w:p w:rsidR="00B126D9" w:rsidRDefault="00B126D9" w:rsidP="00B126D9">
      <w:pPr>
        <w:ind w:left="993"/>
      </w:pPr>
      <w:r w:rsidRPr="00A71DB0">
        <w:t>Indikátor výstupu</w:t>
      </w:r>
      <w:r>
        <w:t xml:space="preserve"> C1 Setkání Fóra cestovního ruchu</w:t>
      </w:r>
    </w:p>
    <w:p w:rsidR="0002623E" w:rsidRPr="00132F3C" w:rsidRDefault="0002623E" w:rsidP="00C92756">
      <w:pPr>
        <w:spacing w:after="120"/>
        <w:ind w:left="705"/>
        <w:rPr>
          <w:i/>
        </w:rPr>
      </w:pPr>
    </w:p>
    <w:p w:rsidR="0002623E" w:rsidRDefault="0002623E" w:rsidP="00C92756">
      <w:pPr>
        <w:spacing w:after="120"/>
        <w:ind w:left="705" w:hanging="705"/>
        <w:rPr>
          <w:b/>
          <w:sz w:val="24"/>
        </w:rPr>
      </w:pPr>
      <w:r>
        <w:rPr>
          <w:b/>
          <w:sz w:val="24"/>
        </w:rPr>
        <w:t xml:space="preserve">4. </w:t>
      </w:r>
      <w:r>
        <w:rPr>
          <w:b/>
          <w:sz w:val="24"/>
        </w:rPr>
        <w:tab/>
      </w:r>
      <w:r>
        <w:rPr>
          <w:b/>
          <w:sz w:val="24"/>
        </w:rPr>
        <w:tab/>
        <w:t>Zhodnocení aktivit v oblasti průřezového tématu „Administrativní podpora malých obcí“</w:t>
      </w:r>
    </w:p>
    <w:p w:rsidR="00BF656A" w:rsidRPr="00BF656A" w:rsidRDefault="00BF656A" w:rsidP="00BF656A">
      <w:pPr>
        <w:spacing w:after="120"/>
        <w:ind w:firstLine="4"/>
      </w:pPr>
      <w:r w:rsidRPr="00BF656A">
        <w:t>Velký podíl aktivit si obce zajišťují již v tomto okamžiku sami (jinak ani nemohou) a preferují aktivity v oblasti DSO (tam kde mají dobrou zkušenost - CHOPOS) nebo vlastními silami.</w:t>
      </w:r>
    </w:p>
    <w:p w:rsidR="0002623E" w:rsidRPr="000F6EF2" w:rsidRDefault="001F0F65" w:rsidP="001F0F65">
      <w:pPr>
        <w:spacing w:after="120"/>
        <w:ind w:left="705" w:hanging="705"/>
        <w:jc w:val="center"/>
        <w:rPr>
          <w:i/>
        </w:rPr>
      </w:pPr>
      <w:r>
        <w:rPr>
          <w:noProof/>
          <w:lang w:eastAsia="cs-CZ"/>
        </w:rPr>
        <w:drawing>
          <wp:inline distT="0" distB="0" distL="0" distR="0" wp14:anchorId="3F4A2923" wp14:editId="1B18FC82">
            <wp:extent cx="5783580" cy="3726180"/>
            <wp:effectExtent l="0" t="0" r="7620" b="7620"/>
            <wp:docPr id="1" name="Graf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2623E" w:rsidRDefault="0002623E" w:rsidP="00C92756">
      <w:pPr>
        <w:spacing w:after="120"/>
        <w:ind w:left="705" w:hanging="705"/>
        <w:rPr>
          <w:i/>
          <w:sz w:val="24"/>
        </w:rPr>
      </w:pPr>
      <w:r>
        <w:rPr>
          <w:i/>
          <w:sz w:val="24"/>
        </w:rPr>
        <w:tab/>
      </w:r>
    </w:p>
    <w:p w:rsidR="001F0F65" w:rsidRDefault="001F0F65" w:rsidP="00C92756">
      <w:pPr>
        <w:spacing w:after="120"/>
        <w:ind w:left="705" w:hanging="705"/>
        <w:rPr>
          <w:i/>
        </w:rPr>
      </w:pPr>
      <w:r>
        <w:rPr>
          <w:noProof/>
          <w:lang w:eastAsia="cs-CZ"/>
        </w:rPr>
        <w:lastRenderedPageBreak/>
        <w:drawing>
          <wp:inline distT="0" distB="0" distL="0" distR="0" wp14:anchorId="289BC412" wp14:editId="7ABDACE5">
            <wp:extent cx="5760720" cy="3741420"/>
            <wp:effectExtent l="0" t="0" r="0" b="0"/>
            <wp:docPr id="8" name="Graf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F0F65" w:rsidRDefault="001F0F65" w:rsidP="00C92756">
      <w:pPr>
        <w:spacing w:after="120"/>
        <w:ind w:left="705" w:hanging="705"/>
        <w:rPr>
          <w:i/>
        </w:rPr>
      </w:pPr>
    </w:p>
    <w:p w:rsidR="001F0F65" w:rsidRPr="004170CD" w:rsidRDefault="00343887" w:rsidP="00C92756">
      <w:pPr>
        <w:spacing w:after="120"/>
        <w:ind w:left="705" w:hanging="705"/>
        <w:rPr>
          <w:i/>
        </w:rPr>
      </w:pPr>
      <w:r>
        <w:rPr>
          <w:noProof/>
          <w:lang w:eastAsia="cs-CZ"/>
        </w:rPr>
        <w:drawing>
          <wp:inline distT="0" distB="0" distL="0" distR="0" wp14:anchorId="599EBC89" wp14:editId="39B3AA76">
            <wp:extent cx="5760720" cy="4389120"/>
            <wp:effectExtent l="0" t="0" r="0" b="0"/>
            <wp:docPr id="10" name="Graf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02623E" w:rsidRPr="00132F3C" w:rsidRDefault="0002623E" w:rsidP="00C92756">
      <w:pPr>
        <w:spacing w:after="120"/>
        <w:ind w:left="705" w:hanging="705"/>
        <w:rPr>
          <w:b/>
          <w:sz w:val="24"/>
        </w:rPr>
      </w:pPr>
      <w:r>
        <w:rPr>
          <w:b/>
          <w:sz w:val="24"/>
        </w:rPr>
        <w:lastRenderedPageBreak/>
        <w:t xml:space="preserve">5. </w:t>
      </w:r>
      <w:r>
        <w:rPr>
          <w:b/>
          <w:sz w:val="24"/>
        </w:rPr>
        <w:tab/>
        <w:t>Prezentace připravených právních dokumentů (stanovy DSO)</w:t>
      </w:r>
    </w:p>
    <w:p w:rsidR="00DA249E" w:rsidRDefault="00DA249E" w:rsidP="00DA249E">
      <w:pPr>
        <w:jc w:val="both"/>
      </w:pPr>
      <w:r>
        <w:t>Ve správním obvodu ORP Benešov působí devět</w:t>
      </w:r>
      <w:r w:rsidRPr="0085690B">
        <w:t xml:space="preserve"> </w:t>
      </w:r>
      <w:r>
        <w:t>dobrovolných svazků</w:t>
      </w:r>
      <w:r w:rsidRPr="0084110A">
        <w:t xml:space="preserve"> obcí (</w:t>
      </w:r>
      <w:r>
        <w:rPr>
          <w:rFonts w:eastAsia="Times New Roman"/>
          <w:color w:val="000000"/>
          <w:lang w:eastAsia="cs-CZ"/>
        </w:rPr>
        <w:t xml:space="preserve">BENE-BUS, CHOPOS, Malé Posázaví, Obecní lesy Benešovska, Vodovodní přivaděč Javorník – Benešov, MIKROREGION DŽBÁNY, EKOSO a Týnecko – svazek obcí, </w:t>
      </w:r>
      <w:r w:rsidRPr="00EC5BB2">
        <w:rPr>
          <w:rFonts w:eastAsia="Times New Roman"/>
          <w:color w:val="000000"/>
          <w:lang w:eastAsia="cs-CZ"/>
        </w:rPr>
        <w:t>Svazek obcí pro dopravu v pražském jižním regionu</w:t>
      </w:r>
      <w:r w:rsidRPr="0084110A">
        <w:t xml:space="preserve">), přičemž v těchto svazcích je </w:t>
      </w:r>
      <w:r w:rsidRPr="00C2637A">
        <w:t xml:space="preserve">sdruženo 50 </w:t>
      </w:r>
      <w:r>
        <w:t>obcí ze všech 51</w:t>
      </w:r>
      <w:r w:rsidRPr="00D15395">
        <w:rPr>
          <w:color w:val="FF0000"/>
        </w:rPr>
        <w:t xml:space="preserve"> </w:t>
      </w:r>
      <w:r w:rsidRPr="0084110A">
        <w:t>obcí spada</w:t>
      </w:r>
      <w:r>
        <w:t>jících do správního obvodu ORP.</w:t>
      </w:r>
    </w:p>
    <w:p w:rsidR="00DA249E" w:rsidRDefault="00DA249E" w:rsidP="00DA249E">
      <w:pPr>
        <w:jc w:val="both"/>
      </w:pPr>
      <w:r w:rsidRPr="00580644">
        <w:t xml:space="preserve">Dobrovolné svazky obcí jsou </w:t>
      </w:r>
      <w:r>
        <w:t>zpravidla</w:t>
      </w:r>
      <w:r w:rsidRPr="00580644">
        <w:t xml:space="preserve"> financovány především</w:t>
      </w:r>
      <w:r>
        <w:t xml:space="preserve"> z</w:t>
      </w:r>
      <w:r w:rsidRPr="00580644">
        <w:t xml:space="preserve"> členských příspěvků a</w:t>
      </w:r>
      <w:r>
        <w:t xml:space="preserve"> dále z dotací, darů či z vlastní hospodářské aktivity svazku</w:t>
      </w:r>
      <w:r w:rsidRPr="00580644">
        <w:t>.</w:t>
      </w:r>
    </w:p>
    <w:p w:rsidR="00DA249E" w:rsidRDefault="00DA249E" w:rsidP="00DA249E">
      <w:pPr>
        <w:pStyle w:val="Odstavecseseznamem"/>
        <w:spacing w:after="160" w:line="259" w:lineRule="auto"/>
        <w:ind w:left="0"/>
        <w:rPr>
          <w:b/>
          <w:i/>
          <w:sz w:val="24"/>
          <w:szCs w:val="24"/>
        </w:rPr>
      </w:pPr>
      <w:r>
        <w:rPr>
          <w:b/>
          <w:i/>
          <w:sz w:val="24"/>
          <w:szCs w:val="24"/>
        </w:rPr>
        <w:t>Polyfunkční a monotematické DSO</w:t>
      </w:r>
      <w:r>
        <w:rPr>
          <w:rStyle w:val="Znakapoznpodarou"/>
          <w:sz w:val="24"/>
          <w:szCs w:val="24"/>
        </w:rPr>
        <w:footnoteReference w:customMarkFollows="1" w:id="1"/>
        <w:t>*</w:t>
      </w:r>
    </w:p>
    <w:p w:rsidR="00DA249E" w:rsidRDefault="00DA249E" w:rsidP="00DA249E">
      <w:pPr>
        <w:pStyle w:val="Odstavecseseznamem"/>
        <w:spacing w:after="160" w:line="259" w:lineRule="auto"/>
        <w:ind w:left="0"/>
        <w:rPr>
          <w:b/>
          <w:i/>
          <w:sz w:val="24"/>
          <w:szCs w:val="24"/>
        </w:rPr>
      </w:pPr>
    </w:p>
    <w:p w:rsidR="0039548E" w:rsidRDefault="00DA249E" w:rsidP="0039548E">
      <w:pPr>
        <w:pStyle w:val="Odstavecseseznamem"/>
        <w:spacing w:after="160" w:line="259" w:lineRule="auto"/>
        <w:ind w:left="0"/>
      </w:pPr>
      <w:r>
        <w:rPr>
          <w:b/>
          <w:i/>
          <w:noProof/>
          <w:sz w:val="24"/>
          <w:szCs w:val="24"/>
          <w:lang w:eastAsia="cs-CZ"/>
        </w:rPr>
        <w:drawing>
          <wp:inline distT="0" distB="0" distL="0" distR="0" wp14:anchorId="3C9F50C7" wp14:editId="46EAA8F3">
            <wp:extent cx="5939790" cy="4198620"/>
            <wp:effectExtent l="0" t="0" r="3810" b="0"/>
            <wp:docPr id="17" name="Obráze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pa4.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39790" cy="4198620"/>
                    </a:xfrm>
                    <a:prstGeom prst="rect">
                      <a:avLst/>
                    </a:prstGeom>
                  </pic:spPr>
                </pic:pic>
              </a:graphicData>
            </a:graphic>
          </wp:inline>
        </w:drawing>
      </w:r>
    </w:p>
    <w:p w:rsidR="00BF79B2" w:rsidRDefault="00BF79B2" w:rsidP="00BF79B2">
      <w:pPr>
        <w:spacing w:after="120"/>
        <w:jc w:val="both"/>
      </w:pPr>
      <w:r>
        <w:t>Cílem projektu je především snaha o podporu spolupráce obcí v celé řadě oblastí výkonu samostatné působnosti. Snaha tedy směřuje k ustavení platformy, která by byla určitým způsobem multifunkční a poskytovala by tak efektivní podporu jednotlivým začleněným obcím v rámci výkonu veřejné správy. Pokud poté s ohledem na projekt zhodnotíme právě výběr formy dobrovolných svazků obcí, jde o formu, která je k popsanému účelu přinejmenším vhodná.</w:t>
      </w:r>
    </w:p>
    <w:p w:rsidR="000C577A" w:rsidRDefault="000C577A" w:rsidP="000C577A">
      <w:pPr>
        <w:jc w:val="both"/>
      </w:pPr>
      <w:r w:rsidRPr="00622C67">
        <w:lastRenderedPageBreak/>
        <w:t xml:space="preserve">Na území správního obvodu ORP </w:t>
      </w:r>
      <w:r>
        <w:t>Benešov působí devět</w:t>
      </w:r>
      <w:r w:rsidRPr="00622C67">
        <w:t xml:space="preserve"> dobrovolných svazků obcí</w:t>
      </w:r>
      <w:r>
        <w:t xml:space="preserve"> (</w:t>
      </w:r>
      <w:proofErr w:type="gramStart"/>
      <w:r>
        <w:t>BENE</w:t>
      </w:r>
      <w:proofErr w:type="gramEnd"/>
      <w:r>
        <w:t>–</w:t>
      </w:r>
      <w:proofErr w:type="gramStart"/>
      <w:r>
        <w:t>BUS</w:t>
      </w:r>
      <w:proofErr w:type="gramEnd"/>
      <w:r>
        <w:t>, CHOPOS, Malé Posázaví, Obecní lesy Benešovska, Týnecko – svazek obcí, Vodovodní přivaděč Javorník – Benešov, Mikroregion Džbány, EKOSO a Svazek obcí pro dopravu v pražském jižním regionu)</w:t>
      </w:r>
      <w:r w:rsidRPr="00622C67">
        <w:t xml:space="preserve">, z nichž </w:t>
      </w:r>
      <w:r>
        <w:t>čtyři jsou svazky monotematické (BENE–BUS, Obecní lesy Benešovska, Vodovodní přivaděč Javorník – Benešov a Svazek obcí pro dopravu v pražském jižním regionu), zbylých pět svazků jsou svazky polyfunkční, přičemž všechny polyfunkční svazky jsou svazky aktivními.</w:t>
      </w:r>
    </w:p>
    <w:p w:rsidR="000C577A" w:rsidRPr="00C62954" w:rsidRDefault="000C577A" w:rsidP="000C577A">
      <w:pPr>
        <w:jc w:val="both"/>
      </w:pPr>
      <w:r>
        <w:t xml:space="preserve">Větší množství obcí spadajících do správního obvodu ORP Benešov sdružují dva svazky, a to </w:t>
      </w:r>
      <w:proofErr w:type="gramStart"/>
      <w:r>
        <w:t>BENE</w:t>
      </w:r>
      <w:proofErr w:type="gramEnd"/>
      <w:r>
        <w:t>–</w:t>
      </w:r>
      <w:proofErr w:type="gramStart"/>
      <w:r>
        <w:t>BUS</w:t>
      </w:r>
      <w:proofErr w:type="gramEnd"/>
      <w:r>
        <w:t xml:space="preserve"> (46 obcí z celkového počtu 51 obcí náležejících do analyzovaného správního obvodu) a CHOPOS (18 obcí). Dobrovolný svazek obcí BENE-BUS zaměřuje svou činnost pouze na zajištění dopravní obslužnosti na daném území. Dobrovolný svazek obcí CHOPOS se orientuje na </w:t>
      </w:r>
      <w:r w:rsidRPr="00C62954">
        <w:rPr>
          <w:rFonts w:eastAsia="Times New Roman" w:cs="Arial"/>
          <w:color w:val="000000"/>
          <w:lang w:eastAsia="cs-CZ"/>
        </w:rPr>
        <w:t>s</w:t>
      </w:r>
      <w:r>
        <w:rPr>
          <w:rFonts w:eastAsia="Times New Roman" w:cs="Arial"/>
          <w:color w:val="000000"/>
          <w:lang w:eastAsia="cs-CZ"/>
        </w:rPr>
        <w:t>polupráci</w:t>
      </w:r>
      <w:r w:rsidRPr="00C62954">
        <w:rPr>
          <w:rFonts w:eastAsia="Times New Roman" w:cs="Arial"/>
          <w:color w:val="000000"/>
          <w:lang w:eastAsia="cs-CZ"/>
        </w:rPr>
        <w:t xml:space="preserve"> na zlepšení života obyvatel venkova, s</w:t>
      </w:r>
      <w:r>
        <w:rPr>
          <w:rFonts w:eastAsia="Times New Roman" w:cs="Arial"/>
          <w:color w:val="000000"/>
          <w:lang w:eastAsia="cs-CZ"/>
        </w:rPr>
        <w:t>polupráci a výměnu</w:t>
      </w:r>
      <w:r w:rsidRPr="00C62954">
        <w:rPr>
          <w:rFonts w:eastAsia="Times New Roman" w:cs="Arial"/>
          <w:color w:val="000000"/>
          <w:lang w:eastAsia="cs-CZ"/>
        </w:rPr>
        <w:t xml:space="preserve"> know-how mezi spřátelenými obcemi v EU a </w:t>
      </w:r>
      <w:r>
        <w:rPr>
          <w:rFonts w:eastAsia="Times New Roman" w:cs="Arial"/>
          <w:color w:val="000000"/>
          <w:lang w:eastAsia="cs-CZ"/>
        </w:rPr>
        <w:t xml:space="preserve">na </w:t>
      </w:r>
      <w:r w:rsidRPr="00C62954">
        <w:rPr>
          <w:rFonts w:eastAsia="Times New Roman" w:cs="Arial"/>
          <w:color w:val="000000"/>
          <w:lang w:eastAsia="cs-CZ"/>
        </w:rPr>
        <w:t>zpracování projektu hospodářského rozvoje</w:t>
      </w:r>
      <w:r>
        <w:rPr>
          <w:rFonts w:eastAsia="Times New Roman" w:cs="Arial"/>
          <w:color w:val="000000"/>
          <w:lang w:eastAsia="cs-CZ"/>
        </w:rPr>
        <w:t>.</w:t>
      </w:r>
    </w:p>
    <w:p w:rsidR="000C577A" w:rsidRDefault="000C577A" w:rsidP="000C577A">
      <w:pPr>
        <w:jc w:val="both"/>
      </w:pPr>
      <w:r>
        <w:t xml:space="preserve">Z uvedených charakteristik vyplývá, že v rámci tvorby analýzy nebyl nalezen vhodný dobrovolný svazek obcí, který by např. po svém rozšíření mohl převzít pozici vhodné platformy pro efektivní spolupráci obcí v rámci území správního obvodu ORP Benešov. Doporučení vyplývající z této analýzy tak nemůže směřovat jinam, než k vytvoření nového dobrovolného svazku obcí, který by poskytl dostatečné zázemí k prohloubení meziobecní spolupráce v daném ORP.  </w:t>
      </w:r>
    </w:p>
    <w:p w:rsidR="000C577A" w:rsidRDefault="000C577A" w:rsidP="000C577A">
      <w:pPr>
        <w:jc w:val="both"/>
      </w:pPr>
      <w:r>
        <w:t>Obecně by takto vytvořený dobrovolný svazek obcí měl pojmout co nejvíce obcí, jejichž katastrální území je součástí správního obvodu ORP Benešov, přičemž lze předpokládat, že pouze dobrovolný svazek obcí se silnou členskou základnou je schopen přispět k realizaci některých návrhů vzešlých z provedených analýz. V rámci samostatné právnické osoby, na jejíž činnosti se skutečně podílí všechny obce z daného regionu, je poté snazší provádět zamýšlené plánovací činnosti v oblastech školství nebo poskytování sociálních služeb, případně seskupením finančních prostředků realizovat záměr směřující k založení svazkové školy či k zajištění terénních sociálních služeb.</w:t>
      </w:r>
    </w:p>
    <w:p w:rsidR="000C577A" w:rsidRDefault="000C577A" w:rsidP="000C577A">
      <w:pPr>
        <w:jc w:val="both"/>
      </w:pPr>
      <w:r>
        <w:t>V rámci vytvoření organizační struktury je poté třeba uvědomit si, že dobrovolný svazek obcí by na jedné straně měl respektovat demokratické principy a vycházet z toho, že jeho vedením budou primárně pověřeni volení představitelé jednotlivých členských obcí (jedná se totiž o zajištění služeb v rámci výkonu samostatné působnosti obcí), ovšem na straně druhé by mělo jít též o jeho profesionální řízení (tj. existenci odborného manažera pověřeného výkonem běžné činnosti a existence aparátu zaměstnanců, kteří rozumí řešené problematice). Až poté totiž může být vytvořený dobrovolný svazek obcí skutečně fungující organizací, která svým členům poskytne podporu při plnění úkolů v rámci výkonu samostatné působnosti a při rozvoji daného území, což je dáno především tím, že volení představitelé obcí jsou standardně zaneprázdněni vedením obcí a nedostává se jim dostatek času ke každodennímu vedení další právnické osoby.</w:t>
      </w:r>
    </w:p>
    <w:p w:rsidR="000C577A" w:rsidRDefault="000C577A" w:rsidP="000C577A">
      <w:pPr>
        <w:spacing w:after="120"/>
        <w:jc w:val="both"/>
      </w:pPr>
      <w:r>
        <w:t>Doporučením tedy je snaha o vytvoření nového dobrovolného svazku obcí, který by obsáhl všechny obce spadající do správního obvodu ORP Benešov a poskytl tak členským obcím vhodné zázemí k zefektivnění výkonu veřejné správy. Další možnou variantou je využití již existujícího dobrovolného svazku obcí BENE-BUS k dalšímu prohlubování meziobecní spolupráce, ale pouze za předpokladu, že rozšíří svůj předmět činnosti i na další aktivity, zejména na oblast školství, sociálních služeb a odpadového hospodářství.</w:t>
      </w:r>
    </w:p>
    <w:p w:rsidR="00A3420D" w:rsidRDefault="000C577A" w:rsidP="000C577A">
      <w:pPr>
        <w:spacing w:after="120"/>
        <w:jc w:val="both"/>
        <w:rPr>
          <w:iCs/>
        </w:rPr>
      </w:pPr>
      <w:r w:rsidRPr="000C577A">
        <w:rPr>
          <w:iCs/>
        </w:rPr>
        <w:lastRenderedPageBreak/>
        <w:t>Dobrovolný svazek obcí BENE-BUS je monotematický a s ohledem na své zaměření dostatečně funkční svazek, který sdružuje 46 obcí ze správního obvodu ORP Benešov a velké množství dalších obcí, které do daného ORP nenáleží. Hlavní aktivita tohoto svazku se zaměřuje na dopravní obslužnost ve sdružených obcích. DSO zastává jednu z hlavních pozic v daném ORP, nicméně vzhledem ke svému monotématickému zaměření není tento svazek vhodným kandidátem na prohlubování meziobecní spolupráce. Potenciálně je však možné uvažovat o tomto svazku jako nositeli myšlenky meziobecní spolupráce za předpokladu, že dojde k rozšíření jeho aktivit i na oblasti, které jsou předmětem této analýzy.</w:t>
      </w:r>
      <w:r>
        <w:rPr>
          <w:iCs/>
        </w:rPr>
        <w:t xml:space="preserve"> </w:t>
      </w:r>
      <w:r w:rsidR="009246B2" w:rsidRPr="009246B2">
        <w:rPr>
          <w:iCs/>
        </w:rPr>
        <w:t xml:space="preserve">V oblasti </w:t>
      </w:r>
      <w:r w:rsidR="009246B2">
        <w:rPr>
          <w:iCs/>
        </w:rPr>
        <w:t>pokračování meziobecní spolupráce byla ze strany SMO navržena úprava – rozšíření aktivit DSO BENE-BUS na tyto činnosti:</w:t>
      </w:r>
    </w:p>
    <w:p w:rsidR="009246B2" w:rsidRDefault="009246B2" w:rsidP="009246B2">
      <w:pPr>
        <w:pStyle w:val="Odstavecseseznamem1"/>
        <w:spacing w:after="0"/>
        <w:ind w:left="0"/>
        <w:jc w:val="both"/>
        <w:rPr>
          <w:rFonts w:asciiTheme="minorHAnsi" w:hAnsiTheme="minorHAnsi" w:cs="Times New Roman"/>
        </w:rPr>
      </w:pPr>
      <w:r>
        <w:rPr>
          <w:rFonts w:asciiTheme="minorHAnsi" w:hAnsiTheme="minorHAnsi" w:cs="Times New Roman"/>
        </w:rPr>
        <w:t xml:space="preserve">Hlavní činnost svazku je zaměřena zejména na výkon činností </w:t>
      </w:r>
      <w:r>
        <w:t xml:space="preserve">směřujících k systematickému a efektivnímu rozvoji zájmového území, </w:t>
      </w:r>
      <w:r>
        <w:rPr>
          <w:rFonts w:asciiTheme="minorHAnsi" w:hAnsiTheme="minorHAnsi" w:cs="Times New Roman"/>
        </w:rPr>
        <w:t>ochranu a prosazování společných zájmů členských obcí a jejich spolupráci při rozvíjení činností týkajících se:</w:t>
      </w:r>
    </w:p>
    <w:p w:rsidR="009246B2" w:rsidRDefault="009246B2" w:rsidP="009246B2">
      <w:pPr>
        <w:pStyle w:val="Odstavecseseznamem1"/>
        <w:numPr>
          <w:ilvl w:val="1"/>
          <w:numId w:val="31"/>
        </w:numPr>
        <w:spacing w:after="0"/>
        <w:ind w:left="567"/>
        <w:jc w:val="both"/>
        <w:rPr>
          <w:rFonts w:asciiTheme="minorHAnsi" w:hAnsiTheme="minorHAnsi" w:cs="Times New Roman"/>
        </w:rPr>
      </w:pPr>
      <w:r>
        <w:rPr>
          <w:rFonts w:asciiTheme="minorHAnsi" w:hAnsiTheme="minorHAnsi" w:cs="Times New Roman"/>
        </w:rPr>
        <w:t>vytvoření a zdokonalení fungujícího systému veřejné osobní dopravy k zajištění dopravní obslužnosti v zájmovém území, zejména jednání s dopravci za účelem zajištění optimalizace dopravní obslužnosti v autobusové dopravě a jednání s orgány státní správy, samosprávy, právnickými a fyzickými osobami za týmž účelem,</w:t>
      </w:r>
    </w:p>
    <w:p w:rsidR="009246B2" w:rsidRDefault="009246B2" w:rsidP="009246B2">
      <w:pPr>
        <w:pStyle w:val="Odstavecseseznamem1"/>
        <w:numPr>
          <w:ilvl w:val="1"/>
          <w:numId w:val="31"/>
        </w:numPr>
        <w:spacing w:after="0"/>
        <w:ind w:left="567"/>
        <w:jc w:val="both"/>
        <w:rPr>
          <w:rFonts w:asciiTheme="minorHAnsi" w:hAnsiTheme="minorHAnsi" w:cs="Times New Roman"/>
        </w:rPr>
      </w:pPr>
      <w:r>
        <w:rPr>
          <w:rFonts w:asciiTheme="minorHAnsi" w:hAnsiTheme="minorHAnsi" w:cs="Times New Roman"/>
        </w:rPr>
        <w:t>propagace svazku a jeho zájmového území,</w:t>
      </w:r>
    </w:p>
    <w:p w:rsidR="009246B2" w:rsidRDefault="009246B2" w:rsidP="009246B2">
      <w:pPr>
        <w:pStyle w:val="Odstavecseseznamem1"/>
        <w:numPr>
          <w:ilvl w:val="1"/>
          <w:numId w:val="31"/>
        </w:numPr>
        <w:spacing w:after="0"/>
        <w:ind w:left="567"/>
        <w:jc w:val="both"/>
        <w:rPr>
          <w:rFonts w:asciiTheme="minorHAnsi" w:hAnsiTheme="minorHAnsi" w:cs="Times New Roman"/>
        </w:rPr>
      </w:pPr>
      <w:r>
        <w:rPr>
          <w:rFonts w:asciiTheme="minorHAnsi" w:hAnsiTheme="minorHAnsi" w:cs="Times New Roman"/>
        </w:rPr>
        <w:t>oblasti školství,</w:t>
      </w:r>
    </w:p>
    <w:p w:rsidR="009246B2" w:rsidRDefault="009246B2" w:rsidP="009246B2">
      <w:pPr>
        <w:pStyle w:val="Odstavecseseznamem1"/>
        <w:numPr>
          <w:ilvl w:val="1"/>
          <w:numId w:val="31"/>
        </w:numPr>
        <w:spacing w:after="0"/>
        <w:ind w:left="567"/>
        <w:jc w:val="both"/>
        <w:rPr>
          <w:rFonts w:asciiTheme="minorHAnsi" w:hAnsiTheme="minorHAnsi" w:cs="Times New Roman"/>
        </w:rPr>
      </w:pPr>
      <w:r>
        <w:rPr>
          <w:rFonts w:asciiTheme="minorHAnsi" w:hAnsiTheme="minorHAnsi" w:cs="Times New Roman"/>
        </w:rPr>
        <w:t>požární ochrany,</w:t>
      </w:r>
    </w:p>
    <w:p w:rsidR="009246B2" w:rsidRDefault="009246B2" w:rsidP="009246B2">
      <w:pPr>
        <w:pStyle w:val="Odstavecseseznamem1"/>
        <w:numPr>
          <w:ilvl w:val="1"/>
          <w:numId w:val="31"/>
        </w:numPr>
        <w:spacing w:after="0"/>
        <w:ind w:left="567"/>
        <w:jc w:val="both"/>
        <w:rPr>
          <w:rFonts w:asciiTheme="minorHAnsi" w:hAnsiTheme="minorHAnsi" w:cs="Times New Roman"/>
        </w:rPr>
      </w:pPr>
      <w:r>
        <w:rPr>
          <w:rFonts w:asciiTheme="minorHAnsi" w:hAnsiTheme="minorHAnsi" w:cs="Times New Roman"/>
        </w:rPr>
        <w:t>rozvoje cestovního ruchu,</w:t>
      </w:r>
    </w:p>
    <w:p w:rsidR="009246B2" w:rsidRDefault="009246B2" w:rsidP="009246B2">
      <w:pPr>
        <w:pStyle w:val="Odstavecseseznamem1"/>
        <w:numPr>
          <w:ilvl w:val="1"/>
          <w:numId w:val="31"/>
        </w:numPr>
        <w:spacing w:after="0"/>
        <w:ind w:left="567"/>
        <w:jc w:val="both"/>
        <w:rPr>
          <w:rFonts w:asciiTheme="minorHAnsi" w:hAnsiTheme="minorHAnsi" w:cs="Times New Roman"/>
        </w:rPr>
      </w:pPr>
      <w:r>
        <w:rPr>
          <w:rFonts w:asciiTheme="minorHAnsi" w:hAnsiTheme="minorHAnsi" w:cs="Times New Roman"/>
        </w:rPr>
        <w:t>zásobování vodou,</w:t>
      </w:r>
    </w:p>
    <w:p w:rsidR="009246B2" w:rsidRDefault="009246B2" w:rsidP="009246B2">
      <w:pPr>
        <w:pStyle w:val="Odstavecseseznamem1"/>
        <w:numPr>
          <w:ilvl w:val="1"/>
          <w:numId w:val="31"/>
        </w:numPr>
        <w:spacing w:after="0"/>
        <w:ind w:left="567"/>
        <w:jc w:val="both"/>
        <w:rPr>
          <w:rFonts w:asciiTheme="minorHAnsi" w:hAnsiTheme="minorHAnsi" w:cs="Times New Roman"/>
        </w:rPr>
      </w:pPr>
      <w:r>
        <w:rPr>
          <w:rFonts w:asciiTheme="minorHAnsi" w:hAnsiTheme="minorHAnsi" w:cs="Times New Roman"/>
        </w:rPr>
        <w:t>administrativní činnosti, zejména zpracovávání účetnictví obcí a právního poradenství.</w:t>
      </w:r>
    </w:p>
    <w:p w:rsidR="009246B2" w:rsidRDefault="009246B2" w:rsidP="00C92756">
      <w:pPr>
        <w:spacing w:after="120"/>
        <w:rPr>
          <w:iCs/>
        </w:rPr>
      </w:pPr>
    </w:p>
    <w:p w:rsidR="0039548E" w:rsidRPr="0039548E" w:rsidRDefault="0039548E" w:rsidP="0039548E">
      <w:pPr>
        <w:pStyle w:val="Odstavecseseznamem"/>
        <w:spacing w:after="160" w:line="259" w:lineRule="auto"/>
        <w:ind w:left="0"/>
        <w:jc w:val="both"/>
      </w:pPr>
      <w:r>
        <w:t>Spíše byl ze strany obcí deklarován nesouhlas s výsledky analýzy DSO a rozpačitost nad jejich "jednotností" - byla očekávána hlubší analýza</w:t>
      </w:r>
      <w:r w:rsidR="00D97CBB">
        <w:t xml:space="preserve"> i ostatních svazků a revize jejich stanov</w:t>
      </w:r>
      <w:r>
        <w:t>.</w:t>
      </w:r>
    </w:p>
    <w:p w:rsidR="009246B2" w:rsidRPr="009246B2" w:rsidRDefault="009246B2" w:rsidP="00C92756">
      <w:pPr>
        <w:spacing w:after="120"/>
        <w:rPr>
          <w:iCs/>
        </w:rPr>
      </w:pPr>
    </w:p>
    <w:p w:rsidR="0002623E" w:rsidRPr="00132F3C" w:rsidRDefault="0002623E" w:rsidP="00C92756">
      <w:pPr>
        <w:spacing w:after="120"/>
        <w:ind w:left="705" w:hanging="705"/>
        <w:rPr>
          <w:b/>
          <w:sz w:val="24"/>
        </w:rPr>
      </w:pPr>
      <w:r>
        <w:rPr>
          <w:b/>
          <w:sz w:val="24"/>
        </w:rPr>
        <w:t xml:space="preserve">6. </w:t>
      </w:r>
      <w:r>
        <w:rPr>
          <w:b/>
          <w:sz w:val="24"/>
        </w:rPr>
        <w:tab/>
        <w:t>Návrh prohlášení o vzájemné spolupráci obcí</w:t>
      </w:r>
    </w:p>
    <w:p w:rsidR="00EF1C1D" w:rsidRPr="00EF1C1D" w:rsidRDefault="00EF1C1D" w:rsidP="00EF1C1D">
      <w:pPr>
        <w:spacing w:after="120"/>
        <w:jc w:val="both"/>
        <w:rPr>
          <w:b/>
        </w:rPr>
      </w:pPr>
      <w:r w:rsidRPr="00EF1C1D">
        <w:rPr>
          <w:b/>
        </w:rPr>
        <w:t>Základní teze:</w:t>
      </w:r>
    </w:p>
    <w:p w:rsidR="00EF1C1D" w:rsidRPr="003A6AB2" w:rsidRDefault="00EF1C1D" w:rsidP="00EF1C1D">
      <w:pPr>
        <w:spacing w:after="120"/>
        <w:jc w:val="both"/>
      </w:pPr>
      <w:r w:rsidRPr="003A6AB2">
        <w:t xml:space="preserve">Obce jsou základním územním samosprávným celkem, který je ze zákona odpovědný za rozvoj na svém území. </w:t>
      </w:r>
    </w:p>
    <w:p w:rsidR="00EF1C1D" w:rsidRPr="000D3A7B" w:rsidRDefault="00EF1C1D" w:rsidP="00EF1C1D">
      <w:pPr>
        <w:spacing w:after="120"/>
        <w:jc w:val="both"/>
      </w:pPr>
      <w:r>
        <w:t xml:space="preserve">Jsme si </w:t>
      </w:r>
      <w:r w:rsidRPr="000D3A7B">
        <w:t>vědomi potřeby partnerství a spolupráce s ohledem na nezbytnost vymezení priorit pro příští programovací období.</w:t>
      </w:r>
    </w:p>
    <w:p w:rsidR="00EF1C1D" w:rsidRPr="000D3A7B" w:rsidRDefault="00EF1C1D" w:rsidP="00EF1C1D">
      <w:pPr>
        <w:spacing w:after="120"/>
        <w:jc w:val="both"/>
      </w:pPr>
      <w:r w:rsidRPr="000D3A7B">
        <w:t>Spolupracujeme ve venkovském prostoru s cílem zajistit jeho vyvážený a udržitelný rozvoj.</w:t>
      </w:r>
    </w:p>
    <w:p w:rsidR="00EF1C1D" w:rsidRPr="00680F29" w:rsidRDefault="00EF1C1D" w:rsidP="00EF1C1D">
      <w:pPr>
        <w:spacing w:after="120"/>
        <w:jc w:val="both"/>
      </w:pPr>
      <w:r w:rsidRPr="000D3A7B">
        <w:t>Samosprávu vnímáme jako nejdůležitějšího aktéra veřejné kontroly v implementační struktuře komunitně vedeného místního rozvoje.</w:t>
      </w:r>
    </w:p>
    <w:p w:rsidR="00EF1C1D" w:rsidRDefault="00EF1C1D" w:rsidP="00EF1C1D">
      <w:pPr>
        <w:spacing w:after="120"/>
        <w:jc w:val="both"/>
      </w:pPr>
      <w:r>
        <w:t xml:space="preserve">Metodu Leader chápeme jako </w:t>
      </w:r>
      <w:r w:rsidRPr="00214A32">
        <w:t>součást distr</w:t>
      </w:r>
      <w:r>
        <w:t>ibuce prostředků pro rozvoj venkova a využíváme ji jako jednu z forem podpory spolupráce nejen mezi obcemi</w:t>
      </w:r>
      <w:r w:rsidRPr="00214A32">
        <w:t>.</w:t>
      </w:r>
      <w:r w:rsidRPr="00707F75">
        <w:t xml:space="preserve"> </w:t>
      </w:r>
    </w:p>
    <w:p w:rsidR="00EF1C1D" w:rsidRDefault="00EF1C1D" w:rsidP="00EF1C1D">
      <w:pPr>
        <w:spacing w:after="120"/>
        <w:jc w:val="both"/>
      </w:pPr>
      <w:r w:rsidRPr="00680F29">
        <w:t xml:space="preserve">Vzájemně konzultujeme postoje jednotlivých </w:t>
      </w:r>
      <w:r>
        <w:t>obcí</w:t>
      </w:r>
      <w:r w:rsidRPr="00680F29">
        <w:t xml:space="preserve"> a hledáme společná stanoviska, která následně společně prosazujeme.</w:t>
      </w:r>
    </w:p>
    <w:p w:rsidR="00F26FDC" w:rsidRPr="00F26FDC" w:rsidRDefault="00EF1C1D" w:rsidP="00EF1C1D">
      <w:pPr>
        <w:spacing w:after="120"/>
        <w:jc w:val="both"/>
        <w:rPr>
          <w:rFonts w:asciiTheme="minorHAnsi" w:hAnsiTheme="minorHAnsi"/>
        </w:rPr>
      </w:pPr>
      <w:r>
        <w:t xml:space="preserve">Jako platformu pro </w:t>
      </w:r>
      <w:r>
        <w:rPr>
          <w:rFonts w:asciiTheme="minorHAnsi" w:hAnsiTheme="minorHAnsi"/>
        </w:rPr>
        <w:t>spolupráci volíme</w:t>
      </w:r>
      <w:r w:rsidR="00F26FDC">
        <w:rPr>
          <w:rFonts w:asciiTheme="minorHAnsi" w:hAnsiTheme="minorHAnsi"/>
        </w:rPr>
        <w:t xml:space="preserve"> neformální </w:t>
      </w:r>
      <w:r w:rsidR="00F26FDC" w:rsidRPr="00F26FDC">
        <w:rPr>
          <w:rFonts w:asciiTheme="minorHAnsi" w:hAnsiTheme="minorHAnsi"/>
        </w:rPr>
        <w:t>Shromáždění starostů</w:t>
      </w:r>
      <w:r>
        <w:rPr>
          <w:rFonts w:asciiTheme="minorHAnsi" w:hAnsiTheme="minorHAnsi"/>
        </w:rPr>
        <w:t>.</w:t>
      </w:r>
    </w:p>
    <w:p w:rsidR="00F26FDC" w:rsidRPr="00F26FDC" w:rsidRDefault="00F26FDC" w:rsidP="00EF1C1D">
      <w:pPr>
        <w:pStyle w:val="Zkladntext"/>
        <w:numPr>
          <w:ilvl w:val="0"/>
          <w:numId w:val="33"/>
        </w:numPr>
        <w:tabs>
          <w:tab w:val="left" w:pos="0"/>
        </w:tabs>
        <w:spacing w:after="120"/>
        <w:ind w:left="426"/>
        <w:jc w:val="both"/>
        <w:rPr>
          <w:rFonts w:asciiTheme="minorHAnsi" w:hAnsiTheme="minorHAnsi"/>
          <w:b w:val="0"/>
          <w:sz w:val="22"/>
          <w:szCs w:val="22"/>
          <w:lang w:val="cs-CZ"/>
        </w:rPr>
      </w:pPr>
      <w:r w:rsidRPr="00F26FDC">
        <w:rPr>
          <w:rFonts w:asciiTheme="minorHAnsi" w:hAnsiTheme="minorHAnsi"/>
          <w:b w:val="0"/>
          <w:sz w:val="22"/>
          <w:szCs w:val="22"/>
          <w:lang w:val="cs-CZ"/>
        </w:rPr>
        <w:lastRenderedPageBreak/>
        <w:t xml:space="preserve">Shromáždění starostů je profesním shromážděním statutárních zástupců obcí, městysů a měst finančně podporujících činnost </w:t>
      </w:r>
      <w:r>
        <w:rPr>
          <w:rFonts w:asciiTheme="minorHAnsi" w:hAnsiTheme="minorHAnsi"/>
          <w:b w:val="0"/>
          <w:sz w:val="22"/>
          <w:szCs w:val="22"/>
          <w:lang w:val="cs-CZ"/>
        </w:rPr>
        <w:t>směřující k rozvoji regionu</w:t>
      </w:r>
      <w:r w:rsidRPr="00F26FDC">
        <w:rPr>
          <w:rFonts w:asciiTheme="minorHAnsi" w:hAnsiTheme="minorHAnsi"/>
          <w:b w:val="0"/>
          <w:sz w:val="22"/>
          <w:szCs w:val="22"/>
          <w:lang w:val="cs-CZ"/>
        </w:rPr>
        <w:t>.</w:t>
      </w:r>
    </w:p>
    <w:p w:rsidR="00F26FDC" w:rsidRPr="00F26FDC" w:rsidRDefault="00F26FDC" w:rsidP="00EF1C1D">
      <w:pPr>
        <w:pStyle w:val="Zkladntext"/>
        <w:numPr>
          <w:ilvl w:val="0"/>
          <w:numId w:val="33"/>
        </w:numPr>
        <w:tabs>
          <w:tab w:val="left" w:pos="0"/>
        </w:tabs>
        <w:spacing w:after="120"/>
        <w:ind w:left="426"/>
        <w:jc w:val="both"/>
        <w:rPr>
          <w:rFonts w:asciiTheme="minorHAnsi" w:hAnsiTheme="minorHAnsi"/>
          <w:b w:val="0"/>
          <w:sz w:val="22"/>
          <w:szCs w:val="22"/>
          <w:lang w:val="cs-CZ"/>
        </w:rPr>
      </w:pPr>
      <w:r w:rsidRPr="00F26FDC">
        <w:rPr>
          <w:rFonts w:asciiTheme="minorHAnsi" w:hAnsiTheme="minorHAnsi"/>
          <w:b w:val="0"/>
          <w:sz w:val="22"/>
          <w:szCs w:val="22"/>
          <w:lang w:val="cs-CZ"/>
        </w:rPr>
        <w:t>Shromáždění starostů rozhoduje nadpoloviční většinou všech zástupců obcí, městysů a měst.</w:t>
      </w:r>
    </w:p>
    <w:p w:rsidR="00F26FDC" w:rsidRPr="00F26FDC" w:rsidRDefault="00F26FDC" w:rsidP="00EF1C1D">
      <w:pPr>
        <w:pStyle w:val="Zkladntext"/>
        <w:numPr>
          <w:ilvl w:val="0"/>
          <w:numId w:val="33"/>
        </w:numPr>
        <w:tabs>
          <w:tab w:val="left" w:pos="0"/>
        </w:tabs>
        <w:spacing w:after="120"/>
        <w:ind w:left="426"/>
        <w:jc w:val="both"/>
        <w:rPr>
          <w:rFonts w:asciiTheme="minorHAnsi" w:hAnsiTheme="minorHAnsi"/>
          <w:b w:val="0"/>
          <w:sz w:val="22"/>
          <w:szCs w:val="22"/>
          <w:lang w:val="cs-CZ"/>
        </w:rPr>
      </w:pPr>
      <w:r w:rsidRPr="00F26FDC">
        <w:rPr>
          <w:rFonts w:asciiTheme="minorHAnsi" w:hAnsiTheme="minorHAnsi"/>
          <w:b w:val="0"/>
          <w:sz w:val="22"/>
          <w:szCs w:val="22"/>
          <w:lang w:val="cs-CZ"/>
        </w:rPr>
        <w:t>Shromáždění starostů volí ze svého středu předsedu a místopředsedu, kteří se tímto stávají zodpovědnými politiky pro realizaci udrži</w:t>
      </w:r>
      <w:r>
        <w:rPr>
          <w:rFonts w:asciiTheme="minorHAnsi" w:hAnsiTheme="minorHAnsi"/>
          <w:b w:val="0"/>
          <w:sz w:val="22"/>
          <w:szCs w:val="22"/>
          <w:lang w:val="cs-CZ"/>
        </w:rPr>
        <w:t>telného rozvoje regionu</w:t>
      </w:r>
      <w:r w:rsidRPr="00F26FDC">
        <w:rPr>
          <w:rFonts w:asciiTheme="minorHAnsi" w:hAnsiTheme="minorHAnsi"/>
          <w:b w:val="0"/>
          <w:sz w:val="22"/>
          <w:szCs w:val="22"/>
          <w:lang w:val="cs-CZ"/>
        </w:rPr>
        <w:t>.</w:t>
      </w:r>
    </w:p>
    <w:p w:rsidR="00F26FDC" w:rsidRPr="00F26FDC" w:rsidRDefault="00F26FDC" w:rsidP="00EF1C1D">
      <w:pPr>
        <w:pStyle w:val="Zkladntext"/>
        <w:numPr>
          <w:ilvl w:val="0"/>
          <w:numId w:val="33"/>
        </w:numPr>
        <w:tabs>
          <w:tab w:val="left" w:pos="0"/>
        </w:tabs>
        <w:spacing w:after="120"/>
        <w:ind w:left="426"/>
        <w:jc w:val="both"/>
        <w:rPr>
          <w:rFonts w:asciiTheme="minorHAnsi" w:hAnsiTheme="minorHAnsi"/>
          <w:b w:val="0"/>
          <w:sz w:val="22"/>
          <w:szCs w:val="22"/>
          <w:lang w:val="cs-CZ"/>
        </w:rPr>
      </w:pPr>
      <w:r w:rsidRPr="00F26FDC">
        <w:rPr>
          <w:rFonts w:asciiTheme="minorHAnsi" w:hAnsiTheme="minorHAnsi"/>
          <w:b w:val="0"/>
          <w:sz w:val="22"/>
          <w:szCs w:val="22"/>
          <w:lang w:val="cs-CZ"/>
        </w:rPr>
        <w:t>Shromáždění starostů navrhuje předsedu a místopředsedu jako své zástupce do Správní rady.</w:t>
      </w:r>
    </w:p>
    <w:p w:rsidR="00F26FDC" w:rsidRPr="00F26FDC" w:rsidRDefault="00F26FDC" w:rsidP="00EF1C1D">
      <w:pPr>
        <w:widowControl w:val="0"/>
        <w:numPr>
          <w:ilvl w:val="0"/>
          <w:numId w:val="33"/>
        </w:numPr>
        <w:spacing w:after="120" w:line="240" w:lineRule="auto"/>
        <w:ind w:left="426"/>
        <w:jc w:val="both"/>
        <w:rPr>
          <w:rFonts w:asciiTheme="minorHAnsi" w:hAnsiTheme="minorHAnsi"/>
        </w:rPr>
      </w:pPr>
      <w:r w:rsidRPr="00F26FDC">
        <w:rPr>
          <w:rFonts w:asciiTheme="minorHAnsi" w:hAnsiTheme="minorHAnsi"/>
        </w:rPr>
        <w:t xml:space="preserve">Shromáždění starostů se schází dle potřeby, nejméně však jednou za kalendářní rok. Zasedání Shromáždění starostů svolává předseda nebo místopředseda. V případě potřeby svolává Shromáždění starostů ředitel </w:t>
      </w:r>
      <w:r>
        <w:rPr>
          <w:rFonts w:asciiTheme="minorHAnsi" w:hAnsiTheme="minorHAnsi"/>
        </w:rPr>
        <w:t>Posázaví o.p.s</w:t>
      </w:r>
      <w:r w:rsidRPr="00F26FDC">
        <w:rPr>
          <w:rFonts w:asciiTheme="minorHAnsi" w:hAnsiTheme="minorHAnsi"/>
        </w:rPr>
        <w:t>.</w:t>
      </w:r>
    </w:p>
    <w:p w:rsidR="00F26FDC" w:rsidRPr="00F26FDC" w:rsidRDefault="00F26FDC" w:rsidP="00EF1C1D">
      <w:pPr>
        <w:pStyle w:val="Zkladntext"/>
        <w:numPr>
          <w:ilvl w:val="0"/>
          <w:numId w:val="33"/>
        </w:numPr>
        <w:tabs>
          <w:tab w:val="left" w:pos="0"/>
        </w:tabs>
        <w:spacing w:after="120"/>
        <w:ind w:left="426"/>
        <w:jc w:val="both"/>
        <w:rPr>
          <w:rFonts w:asciiTheme="minorHAnsi" w:hAnsiTheme="minorHAnsi"/>
          <w:b w:val="0"/>
          <w:sz w:val="22"/>
          <w:szCs w:val="22"/>
          <w:lang w:val="cs-CZ"/>
        </w:rPr>
      </w:pPr>
      <w:r w:rsidRPr="00F26FDC">
        <w:rPr>
          <w:rFonts w:asciiTheme="minorHAnsi" w:hAnsiTheme="minorHAnsi"/>
          <w:b w:val="0"/>
          <w:sz w:val="22"/>
          <w:szCs w:val="22"/>
          <w:lang w:val="cs-CZ"/>
        </w:rPr>
        <w:t>Úkolem Shromáždění starostů je:</w:t>
      </w:r>
    </w:p>
    <w:p w:rsidR="00F26FDC" w:rsidRPr="00F26FDC" w:rsidRDefault="00F26FDC" w:rsidP="00EF1C1D">
      <w:pPr>
        <w:pStyle w:val="Zkladntext"/>
        <w:numPr>
          <w:ilvl w:val="1"/>
          <w:numId w:val="33"/>
        </w:numPr>
        <w:tabs>
          <w:tab w:val="left" w:pos="0"/>
        </w:tabs>
        <w:spacing w:after="120"/>
        <w:ind w:left="709"/>
        <w:jc w:val="both"/>
        <w:rPr>
          <w:rFonts w:asciiTheme="minorHAnsi" w:hAnsiTheme="minorHAnsi"/>
          <w:b w:val="0"/>
          <w:sz w:val="22"/>
          <w:szCs w:val="22"/>
          <w:lang w:val="cs-CZ"/>
        </w:rPr>
      </w:pPr>
      <w:r w:rsidRPr="00F26FDC">
        <w:rPr>
          <w:rFonts w:asciiTheme="minorHAnsi" w:hAnsiTheme="minorHAnsi"/>
          <w:b w:val="0"/>
          <w:sz w:val="22"/>
          <w:szCs w:val="22"/>
          <w:lang w:val="cs-CZ"/>
        </w:rPr>
        <w:t>zajistit profesní setkávání starostů a jejich vzdělávání;</w:t>
      </w:r>
    </w:p>
    <w:p w:rsidR="00F26FDC" w:rsidRPr="00F26FDC" w:rsidRDefault="00F26FDC" w:rsidP="00EF1C1D">
      <w:pPr>
        <w:pStyle w:val="Zkladntext"/>
        <w:numPr>
          <w:ilvl w:val="1"/>
          <w:numId w:val="33"/>
        </w:numPr>
        <w:tabs>
          <w:tab w:val="left" w:pos="0"/>
        </w:tabs>
        <w:spacing w:after="120"/>
        <w:ind w:left="709"/>
        <w:jc w:val="both"/>
        <w:rPr>
          <w:rFonts w:asciiTheme="minorHAnsi" w:hAnsiTheme="minorHAnsi"/>
          <w:b w:val="0"/>
          <w:sz w:val="22"/>
          <w:szCs w:val="22"/>
          <w:lang w:val="cs-CZ"/>
        </w:rPr>
      </w:pPr>
      <w:r w:rsidRPr="00F26FDC">
        <w:rPr>
          <w:rFonts w:asciiTheme="minorHAnsi" w:hAnsiTheme="minorHAnsi"/>
          <w:b w:val="0"/>
          <w:sz w:val="22"/>
          <w:szCs w:val="22"/>
          <w:lang w:val="cs-CZ"/>
        </w:rPr>
        <w:t>definovat priority veřejné správy v regionu Posázaví.</w:t>
      </w:r>
    </w:p>
    <w:p w:rsidR="0002623E" w:rsidRDefault="0002623E" w:rsidP="00C92756">
      <w:pPr>
        <w:spacing w:after="120"/>
        <w:rPr>
          <w:i/>
          <w:iCs/>
        </w:rPr>
      </w:pPr>
    </w:p>
    <w:p w:rsidR="00023A36" w:rsidRDefault="0002623E" w:rsidP="00C92756">
      <w:pPr>
        <w:spacing w:after="120"/>
        <w:rPr>
          <w:b/>
          <w:sz w:val="24"/>
        </w:rPr>
      </w:pPr>
      <w:r>
        <w:rPr>
          <w:b/>
          <w:sz w:val="24"/>
        </w:rPr>
        <w:t>7</w:t>
      </w:r>
      <w:r w:rsidRPr="006F175F">
        <w:rPr>
          <w:b/>
          <w:sz w:val="24"/>
        </w:rPr>
        <w:t>.</w:t>
      </w:r>
      <w:r w:rsidRPr="006F175F">
        <w:rPr>
          <w:b/>
          <w:sz w:val="24"/>
        </w:rPr>
        <w:tab/>
        <w:t>Závěr</w:t>
      </w:r>
    </w:p>
    <w:p w:rsidR="00E14389" w:rsidRDefault="00E14389" w:rsidP="00E14389">
      <w:pPr>
        <w:jc w:val="both"/>
      </w:pPr>
      <w:r w:rsidRPr="00AB31F0">
        <w:t>V</w:t>
      </w:r>
      <w:r>
        <w:t> území SO ORP Benešov</w:t>
      </w:r>
      <w:r w:rsidRPr="00AB31F0">
        <w:t xml:space="preserve"> funguje dobře nastavená meziobecní spolupráce na úrovni dobrovolnýc</w:t>
      </w:r>
      <w:r>
        <w:t xml:space="preserve">h svazků obcí, starostové </w:t>
      </w:r>
      <w:r w:rsidRPr="00AB31F0">
        <w:t>nepředpokládají zakládání nových svazků.</w:t>
      </w:r>
      <w:r w:rsidRPr="005A6823">
        <w:t xml:space="preserve"> </w:t>
      </w:r>
      <w:r>
        <w:t>V rámci přípravy strategického dokumentu byla p</w:t>
      </w:r>
      <w:r w:rsidRPr="00AB31F0">
        <w:t>rojedná</w:t>
      </w:r>
      <w:r>
        <w:t>vána</w:t>
      </w:r>
      <w:r w:rsidRPr="00AB31F0">
        <w:t xml:space="preserve"> mož</w:t>
      </w:r>
      <w:r>
        <w:t>nost</w:t>
      </w:r>
      <w:r w:rsidRPr="00AB31F0">
        <w:t xml:space="preserve"> transformace v největším z</w:t>
      </w:r>
      <w:r>
        <w:t xml:space="preserve"> </w:t>
      </w:r>
      <w:proofErr w:type="spellStart"/>
      <w:r>
        <w:t>multitematických</w:t>
      </w:r>
      <w:proofErr w:type="spellEnd"/>
      <w:r w:rsidRPr="00AB31F0">
        <w:t xml:space="preserve"> DSO, kde byla možnost transformace na </w:t>
      </w:r>
      <w:proofErr w:type="gramStart"/>
      <w:r w:rsidRPr="00AB31F0">
        <w:t>jeden</w:t>
      </w:r>
      <w:proofErr w:type="gramEnd"/>
      <w:r w:rsidRPr="00AB31F0">
        <w:t xml:space="preserve"> velký DSO odmítnuta.</w:t>
      </w:r>
      <w:r>
        <w:t xml:space="preserve"> </w:t>
      </w:r>
      <w:r w:rsidRPr="00AB31F0">
        <w:t xml:space="preserve">Na </w:t>
      </w:r>
      <w:proofErr w:type="spellStart"/>
      <w:r w:rsidRPr="00AB31F0">
        <w:t>CHOPOSu</w:t>
      </w:r>
      <w:proofErr w:type="spellEnd"/>
      <w:r w:rsidRPr="00AB31F0">
        <w:t xml:space="preserve"> bylo odmítnuto také založení nového svazku obcí.</w:t>
      </w:r>
      <w:r>
        <w:t xml:space="preserve"> </w:t>
      </w:r>
      <w:r w:rsidRPr="00AB31F0">
        <w:t>S obcemi byla finálně s ohledem na vyplňování metodických listů projedná</w:t>
      </w:r>
      <w:r>
        <w:t>vána</w:t>
      </w:r>
      <w:r w:rsidRPr="00AB31F0">
        <w:t xml:space="preserve"> ochota a směry meziobecní spolupráce. Preferovanou variantou meziobecní spolupráce je využití v současnosti fungujících DSO.</w:t>
      </w:r>
      <w:r>
        <w:t xml:space="preserve"> </w:t>
      </w:r>
      <w:r w:rsidRPr="00AB31F0">
        <w:t xml:space="preserve">Všeobecně </w:t>
      </w:r>
      <w:r>
        <w:t>byl ze strany starostů</w:t>
      </w:r>
      <w:r w:rsidRPr="00AB31F0">
        <w:t xml:space="preserve"> deklarován názor, že nechtějí ani transformaci ani vytvoření nového velkého DSO. Meziobecní spolupráci ve větším celku si umí představit pouze v případě, že se bude jednat o podporovanou a motivovanou aktivitu ze strany státu.</w:t>
      </w:r>
      <w:r>
        <w:t xml:space="preserve"> </w:t>
      </w:r>
      <w:r w:rsidRPr="005A6823">
        <w:t>Byla</w:t>
      </w:r>
      <w:r>
        <w:t xml:space="preserve"> také řešena</w:t>
      </w:r>
      <w:r w:rsidRPr="005A6823">
        <w:t xml:space="preserve"> možnost využití DSO BENE-BUS jako nosného pro meziobecní spolupráci. Obecně byla tato možnost spíše zavržena s ohledem na dosavadní </w:t>
      </w:r>
      <w:r>
        <w:t xml:space="preserve">jednostranné </w:t>
      </w:r>
      <w:r w:rsidRPr="005A6823">
        <w:t>zaměření tohoto svazku obcí.</w:t>
      </w:r>
    </w:p>
    <w:p w:rsidR="00E14389" w:rsidRDefault="00E14389" w:rsidP="00E14389">
      <w:pPr>
        <w:jc w:val="both"/>
      </w:pPr>
      <w:r>
        <w:t>V rámci zpracovávání dokumentu p</w:t>
      </w:r>
      <w:r w:rsidRPr="00AB31F0">
        <w:t xml:space="preserve">roběhla dvě přípravná neoficiální setkání, na kterých bylo diskutováno volitelné téma, s cílem předpřipravit jeho výběr. </w:t>
      </w:r>
      <w:r>
        <w:t xml:space="preserve">Na 1. oficiálním setkání bylo zvoleno téma </w:t>
      </w:r>
      <w:r w:rsidRPr="00AB31F0">
        <w:t>Koordinace cestovního ruchu a kulturních aktivit &gt; odhlasováno poměrem 5:4.</w:t>
      </w:r>
      <w:r>
        <w:t xml:space="preserve"> Druhé oficiální setkání 21. dubna 2015 pak schválilo strategický dokument a směřování dalšího rozvoje.</w:t>
      </w:r>
    </w:p>
    <w:p w:rsidR="00E14389" w:rsidRDefault="00E14389" w:rsidP="00E14389">
      <w:pPr>
        <w:jc w:val="both"/>
      </w:pPr>
      <w:r>
        <w:t xml:space="preserve">Při přípravě strategického dokumentu byla důležitá setkávání </w:t>
      </w:r>
      <w:r w:rsidRPr="00AB31F0">
        <w:t>se starosty, dotazníkov</w:t>
      </w:r>
      <w:r>
        <w:t>á</w:t>
      </w:r>
      <w:r w:rsidRPr="00AB31F0">
        <w:t xml:space="preserve"> šetření a také místní znalosti manažerů svazků obcí v rámci dlouholeté praxe. V oblasti sociální pak</w:t>
      </w:r>
      <w:r>
        <w:t xml:space="preserve"> byl nosným podkladem zpracovávaný K</w:t>
      </w:r>
      <w:r w:rsidRPr="00AB31F0">
        <w:t>omunitní</w:t>
      </w:r>
      <w:r>
        <w:t xml:space="preserve"> plán</w:t>
      </w:r>
      <w:r w:rsidRPr="00AB31F0">
        <w:t xml:space="preserve"> sociálních služeb</w:t>
      </w:r>
      <w:r>
        <w:t xml:space="preserve"> okresu Benešov – tedy území SO ORP Benešov, Votice a Vlašim</w:t>
      </w:r>
      <w:r w:rsidRPr="00AB31F0">
        <w:t>. Nejvíce problémových okruhů bylo identifikováno v oblasti školství. Shoda</w:t>
      </w:r>
      <w:r>
        <w:t xml:space="preserve"> starostů</w:t>
      </w:r>
      <w:r w:rsidRPr="00AB31F0">
        <w:t xml:space="preserve"> byla ve všech</w:t>
      </w:r>
      <w:r>
        <w:t xml:space="preserve"> níže uvedených</w:t>
      </w:r>
      <w:r w:rsidRPr="00AB31F0">
        <w:t xml:space="preserve"> oblastech.</w:t>
      </w:r>
    </w:p>
    <w:p w:rsidR="00E14389" w:rsidRPr="0099311F" w:rsidRDefault="00E14389" w:rsidP="00C63FD9">
      <w:pPr>
        <w:spacing w:after="120"/>
        <w:jc w:val="both"/>
      </w:pPr>
      <w:r>
        <w:t>Obecně lze konstatovat, že největším identifikovaným problémem je nedostatek finančních prostředků v rozpočtech obcí, které by umožňovaly lepší řešení dané problematiky, a s tím spojené úsilí zmírnění finančních požadavků. Jednotlivé strategické cíle jsou tedy zaměřeny na úsporu finančních prostředků, jejich konsolidaci a lepší využití.</w:t>
      </w:r>
      <w:bookmarkStart w:id="0" w:name="_GoBack"/>
      <w:bookmarkEnd w:id="0"/>
    </w:p>
    <w:sectPr w:rsidR="00E14389" w:rsidRPr="0099311F" w:rsidSect="004B59A5">
      <w:headerReference w:type="default" r:id="rId14"/>
      <w:footerReference w:type="default" r:id="rId15"/>
      <w:pgSz w:w="11906" w:h="16838"/>
      <w:pgMar w:top="1417" w:right="1417" w:bottom="1417" w:left="1417" w:header="79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5E37" w:rsidRDefault="00375E37" w:rsidP="00E05A79">
      <w:pPr>
        <w:spacing w:after="0" w:line="240" w:lineRule="auto"/>
      </w:pPr>
      <w:r>
        <w:separator/>
      </w:r>
    </w:p>
  </w:endnote>
  <w:endnote w:type="continuationSeparator" w:id="0">
    <w:p w:rsidR="00375E37" w:rsidRDefault="00375E37" w:rsidP="00E05A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C68" w:rsidRDefault="00AE0C68">
    <w:pPr>
      <w:pStyle w:val="Zpat"/>
      <w:jc w:val="center"/>
    </w:pPr>
    <w:r>
      <w:fldChar w:fldCharType="begin"/>
    </w:r>
    <w:r>
      <w:instrText>PAGE   \* MERGEFORMAT</w:instrText>
    </w:r>
    <w:r>
      <w:fldChar w:fldCharType="separate"/>
    </w:r>
    <w:r w:rsidR="00341896">
      <w:rPr>
        <w:noProof/>
      </w:rPr>
      <w:t>16</w:t>
    </w:r>
    <w:r>
      <w:fldChar w:fldCharType="end"/>
    </w:r>
  </w:p>
  <w:p w:rsidR="00AE0C68" w:rsidRDefault="00AE0C68">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5E37" w:rsidRDefault="00375E37" w:rsidP="00E05A79">
      <w:pPr>
        <w:spacing w:after="0" w:line="240" w:lineRule="auto"/>
      </w:pPr>
      <w:r>
        <w:separator/>
      </w:r>
    </w:p>
  </w:footnote>
  <w:footnote w:type="continuationSeparator" w:id="0">
    <w:p w:rsidR="00375E37" w:rsidRDefault="00375E37" w:rsidP="00E05A79">
      <w:pPr>
        <w:spacing w:after="0" w:line="240" w:lineRule="auto"/>
      </w:pPr>
      <w:r>
        <w:continuationSeparator/>
      </w:r>
    </w:p>
  </w:footnote>
  <w:footnote w:id="1">
    <w:p w:rsidR="00DA249E" w:rsidRPr="007A4114" w:rsidRDefault="00DA249E" w:rsidP="00DA249E">
      <w:pPr>
        <w:rPr>
          <w:i/>
          <w:sz w:val="16"/>
          <w:szCs w:val="16"/>
        </w:rPr>
      </w:pPr>
      <w:r w:rsidRPr="007A4114">
        <w:rPr>
          <w:rStyle w:val="Znakapoznpodarou"/>
          <w:sz w:val="16"/>
          <w:szCs w:val="16"/>
        </w:rPr>
        <w:t>*</w:t>
      </w:r>
      <w:r w:rsidRPr="007A4114">
        <w:rPr>
          <w:sz w:val="16"/>
          <w:szCs w:val="16"/>
        </w:rPr>
        <w:t xml:space="preserve"> </w:t>
      </w:r>
      <w:r w:rsidRPr="007A4114">
        <w:rPr>
          <w:i/>
          <w:sz w:val="16"/>
          <w:szCs w:val="16"/>
        </w:rPr>
        <w:t>Monotematickým svazkem obcí je pro tuto analýzu myšlen takový subjekt, jehož předmět činnosti je zaměřen pouze na jednu jedinou aktivitu, která je ve své základní podstatě aktivitou jednorázovou a po  naplnění stanoveného cíle již takový subjekt v zásadě nemá dalšího efektivního využití (např. dobrovolný svazek obcí založený pouze za účelem zřízení vodovodu, dobrovolný svazek obcí zřízený pouze za účelem vybudování kanalizace apod.)</w:t>
      </w:r>
    </w:p>
    <w:p w:rsidR="00DA249E" w:rsidRPr="007A4114" w:rsidRDefault="00DA249E" w:rsidP="00DA249E">
      <w:pPr>
        <w:rPr>
          <w:sz w:val="16"/>
          <w:szCs w:val="16"/>
        </w:rPr>
      </w:pPr>
      <w:r w:rsidRPr="007A4114">
        <w:rPr>
          <w:i/>
          <w:sz w:val="16"/>
          <w:szCs w:val="16"/>
        </w:rPr>
        <w:t>Polyfunkční je dobrovolný svazek obcí působící ve více oblastech, přičemž účel jeho zřízení není naplněn pouze jednorázovou akcí a činnost toho subjektu tak není časově omezena</w:t>
      </w:r>
      <w:r w:rsidRPr="007A4114">
        <w:rPr>
          <w:sz w:val="16"/>
          <w:szCs w:val="16"/>
        </w:rPr>
        <w:t>.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5A79" w:rsidRDefault="00A12BCD" w:rsidP="00965D0B">
    <w:pPr>
      <w:pStyle w:val="Zhlav"/>
      <w:tabs>
        <w:tab w:val="clear" w:pos="4536"/>
        <w:tab w:val="clear" w:pos="9072"/>
      </w:tabs>
      <w:jc w:val="center"/>
    </w:pPr>
    <w:r>
      <w:rPr>
        <w:noProof/>
        <w:lang w:eastAsia="cs-CZ"/>
      </w:rPr>
      <w:drawing>
        <wp:inline distT="0" distB="0" distL="0" distR="0">
          <wp:extent cx="1264920" cy="396240"/>
          <wp:effectExtent l="0" t="0" r="0" b="3810"/>
          <wp:docPr id="6" name="obrázek 1" descr="esf_eu_horizontal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f_eu_horizontaln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4920" cy="396240"/>
                  </a:xfrm>
                  <a:prstGeom prst="rect">
                    <a:avLst/>
                  </a:prstGeom>
                  <a:noFill/>
                  <a:ln>
                    <a:noFill/>
                  </a:ln>
                </pic:spPr>
              </pic:pic>
            </a:graphicData>
          </a:graphic>
        </wp:inline>
      </w:drawing>
    </w:r>
    <w:r w:rsidR="00E05A79">
      <w:t xml:space="preserve">   </w:t>
    </w:r>
    <w:r>
      <w:rPr>
        <w:noProof/>
        <w:lang w:eastAsia="cs-CZ"/>
      </w:rPr>
      <w:drawing>
        <wp:inline distT="0" distB="0" distL="0" distR="0">
          <wp:extent cx="1280160" cy="396240"/>
          <wp:effectExtent l="0" t="0" r="0" b="3810"/>
          <wp:docPr id="2" name="obrázek 2" descr="oplzz_horizontal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plzz_horizontalni"/>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0160" cy="396240"/>
                  </a:xfrm>
                  <a:prstGeom prst="rect">
                    <a:avLst/>
                  </a:prstGeom>
                  <a:noFill/>
                  <a:ln>
                    <a:noFill/>
                  </a:ln>
                </pic:spPr>
              </pic:pic>
            </a:graphicData>
          </a:graphic>
        </wp:inline>
      </w:drawing>
    </w:r>
    <w:r w:rsidR="00E05A79">
      <w:t xml:space="preserve">  </w:t>
    </w:r>
    <w:r>
      <w:rPr>
        <w:noProof/>
        <w:lang w:eastAsia="cs-CZ"/>
      </w:rPr>
      <w:drawing>
        <wp:inline distT="0" distB="0" distL="0" distR="0">
          <wp:extent cx="586740" cy="434340"/>
          <wp:effectExtent l="0" t="0" r="3810" b="3810"/>
          <wp:docPr id="3" name="obrázek 3" descr="SMO_logo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O_logo_black"/>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86740" cy="434340"/>
                  </a:xfrm>
                  <a:prstGeom prst="rect">
                    <a:avLst/>
                  </a:prstGeom>
                  <a:noFill/>
                  <a:ln>
                    <a:noFill/>
                  </a:ln>
                </pic:spPr>
              </pic:pic>
            </a:graphicData>
          </a:graphic>
        </wp:inline>
      </w:drawing>
    </w:r>
    <w:r w:rsidR="00E05A79">
      <w:t xml:space="preserve">  </w:t>
    </w:r>
    <w:r>
      <w:rPr>
        <w:noProof/>
        <w:lang w:eastAsia="cs-CZ"/>
      </w:rPr>
      <w:drawing>
        <wp:inline distT="0" distB="0" distL="0" distR="0">
          <wp:extent cx="1219200" cy="373380"/>
          <wp:effectExtent l="0" t="0" r="0" b="7620"/>
          <wp:docPr id="4" name="obrázek 4" descr="Obce_sobe_final-s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bce_sobe_final-s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19200" cy="373380"/>
                  </a:xfrm>
                  <a:prstGeom prst="rect">
                    <a:avLst/>
                  </a:prstGeom>
                  <a:noFill/>
                  <a:ln>
                    <a:noFill/>
                  </a:ln>
                </pic:spPr>
              </pic:pic>
            </a:graphicData>
          </a:graphic>
        </wp:inline>
      </w:drawing>
    </w:r>
    <w:r w:rsidR="00E05A79">
      <w:t xml:space="preserve">  </w:t>
    </w:r>
    <w:r w:rsidR="00E05A79">
      <w:rPr>
        <w:sz w:val="16"/>
        <w:szCs w:val="16"/>
      </w:rPr>
      <w:t xml:space="preserve"> </w:t>
    </w:r>
    <w:r w:rsidR="00E05A79">
      <w:t xml:space="preserve"> </w:t>
    </w:r>
    <w:r>
      <w:rPr>
        <w:noProof/>
        <w:lang w:eastAsia="cs-CZ"/>
      </w:rPr>
      <w:drawing>
        <wp:inline distT="0" distB="0" distL="0" distR="0">
          <wp:extent cx="853440" cy="396240"/>
          <wp:effectExtent l="0" t="0" r="3810" b="3810"/>
          <wp:docPr id="5" name="obrázek 5" descr="motto_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otto_web"/>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3440" cy="39624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97F9E"/>
    <w:multiLevelType w:val="hybridMultilevel"/>
    <w:tmpl w:val="B48CE42C"/>
    <w:lvl w:ilvl="0" w:tplc="04050011">
      <w:start w:val="1"/>
      <w:numFmt w:val="decimal"/>
      <w:lvlText w:val="%1)"/>
      <w:lvlJc w:val="left"/>
      <w:pPr>
        <w:ind w:left="-348" w:hanging="360"/>
      </w:pPr>
      <w:rPr>
        <w:rFonts w:hint="default"/>
      </w:rPr>
    </w:lvl>
    <w:lvl w:ilvl="1" w:tplc="609CA15E">
      <w:start w:val="1"/>
      <w:numFmt w:val="upperLetter"/>
      <w:lvlText w:val="%2)"/>
      <w:lvlJc w:val="left"/>
      <w:pPr>
        <w:ind w:left="927" w:hanging="360"/>
      </w:pPr>
      <w:rPr>
        <w:rFonts w:hint="default"/>
      </w:rPr>
    </w:lvl>
    <w:lvl w:ilvl="2" w:tplc="0405001B" w:tentative="1">
      <w:start w:val="1"/>
      <w:numFmt w:val="lowerRoman"/>
      <w:lvlText w:val="%3."/>
      <w:lvlJc w:val="right"/>
      <w:pPr>
        <w:ind w:left="1092" w:hanging="180"/>
      </w:pPr>
    </w:lvl>
    <w:lvl w:ilvl="3" w:tplc="0405000F" w:tentative="1">
      <w:start w:val="1"/>
      <w:numFmt w:val="decimal"/>
      <w:lvlText w:val="%4."/>
      <w:lvlJc w:val="left"/>
      <w:pPr>
        <w:ind w:left="1812" w:hanging="360"/>
      </w:pPr>
    </w:lvl>
    <w:lvl w:ilvl="4" w:tplc="04050019" w:tentative="1">
      <w:start w:val="1"/>
      <w:numFmt w:val="lowerLetter"/>
      <w:lvlText w:val="%5."/>
      <w:lvlJc w:val="left"/>
      <w:pPr>
        <w:ind w:left="2532" w:hanging="360"/>
      </w:pPr>
    </w:lvl>
    <w:lvl w:ilvl="5" w:tplc="0405001B" w:tentative="1">
      <w:start w:val="1"/>
      <w:numFmt w:val="lowerRoman"/>
      <w:lvlText w:val="%6."/>
      <w:lvlJc w:val="right"/>
      <w:pPr>
        <w:ind w:left="3252" w:hanging="180"/>
      </w:pPr>
    </w:lvl>
    <w:lvl w:ilvl="6" w:tplc="0405000F" w:tentative="1">
      <w:start w:val="1"/>
      <w:numFmt w:val="decimal"/>
      <w:lvlText w:val="%7."/>
      <w:lvlJc w:val="left"/>
      <w:pPr>
        <w:ind w:left="3972" w:hanging="360"/>
      </w:pPr>
    </w:lvl>
    <w:lvl w:ilvl="7" w:tplc="04050019" w:tentative="1">
      <w:start w:val="1"/>
      <w:numFmt w:val="lowerLetter"/>
      <w:lvlText w:val="%8."/>
      <w:lvlJc w:val="left"/>
      <w:pPr>
        <w:ind w:left="4692" w:hanging="360"/>
      </w:pPr>
    </w:lvl>
    <w:lvl w:ilvl="8" w:tplc="0405001B" w:tentative="1">
      <w:start w:val="1"/>
      <w:numFmt w:val="lowerRoman"/>
      <w:lvlText w:val="%9."/>
      <w:lvlJc w:val="right"/>
      <w:pPr>
        <w:ind w:left="5412" w:hanging="180"/>
      </w:pPr>
    </w:lvl>
  </w:abstractNum>
  <w:abstractNum w:abstractNumId="1">
    <w:nsid w:val="08AA0C94"/>
    <w:multiLevelType w:val="hybridMultilevel"/>
    <w:tmpl w:val="B106B1F2"/>
    <w:lvl w:ilvl="0" w:tplc="A1A2698C">
      <w:start w:val="4"/>
      <w:numFmt w:val="bullet"/>
      <w:lvlText w:val="-"/>
      <w:lvlJc w:val="left"/>
      <w:pPr>
        <w:ind w:left="720" w:hanging="360"/>
      </w:pPr>
      <w:rPr>
        <w:rFonts w:ascii="Calibri" w:eastAsia="Calibr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0B36364F"/>
    <w:multiLevelType w:val="multilevel"/>
    <w:tmpl w:val="7760230C"/>
    <w:lvl w:ilvl="0">
      <w:start w:val="1"/>
      <w:numFmt w:val="decimal"/>
      <w:lvlText w:val="%1."/>
      <w:lvlJc w:val="left"/>
      <w:pPr>
        <w:ind w:left="927" w:hanging="360"/>
      </w:pPr>
      <w:rPr>
        <w:rFonts w:ascii="Calibri" w:eastAsia="Times New Roman" w:hAnsi="Calibri" w:cs="Times New Roman"/>
        <w:sz w:val="24"/>
      </w:rPr>
    </w:lvl>
    <w:lvl w:ilvl="1">
      <w:start w:val="2"/>
      <w:numFmt w:val="decimal"/>
      <w:isLgl/>
      <w:lvlText w:val="%1.%2"/>
      <w:lvlJc w:val="left"/>
      <w:pPr>
        <w:ind w:left="92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3">
    <w:nsid w:val="120E4FD9"/>
    <w:multiLevelType w:val="hybridMultilevel"/>
    <w:tmpl w:val="70FE3EEE"/>
    <w:lvl w:ilvl="0" w:tplc="0405000F">
      <w:start w:val="1"/>
      <w:numFmt w:val="decimal"/>
      <w:lvlText w:val="%1."/>
      <w:lvlJc w:val="left"/>
      <w:pPr>
        <w:ind w:left="720" w:hanging="360"/>
      </w:pPr>
    </w:lvl>
    <w:lvl w:ilvl="1" w:tplc="93F812F8">
      <w:start w:val="1"/>
      <w:numFmt w:val="lowerLetter"/>
      <w:lvlText w:val="%2)"/>
      <w:lvlJc w:val="left"/>
      <w:pPr>
        <w:ind w:left="1440" w:hanging="360"/>
      </w:pPr>
      <w:rPr>
        <w:rFonts w:ascii="Times New Roman" w:eastAsia="Times New Roman" w:hAnsi="Times New Roman" w:cs="Times New Roman"/>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19D47F17"/>
    <w:multiLevelType w:val="hybridMultilevel"/>
    <w:tmpl w:val="850EFE48"/>
    <w:lvl w:ilvl="0" w:tplc="263E9130">
      <w:numFmt w:val="bullet"/>
      <w:lvlText w:val="-"/>
      <w:lvlJc w:val="left"/>
      <w:pPr>
        <w:ind w:left="1776" w:hanging="360"/>
      </w:pPr>
      <w:rPr>
        <w:rFonts w:ascii="Calibri" w:eastAsia="Times New Roman" w:hAnsi="Calibri" w:cs="Times New Roman" w:hint="default"/>
      </w:rPr>
    </w:lvl>
    <w:lvl w:ilvl="1" w:tplc="04050003" w:tentative="1">
      <w:start w:val="1"/>
      <w:numFmt w:val="bullet"/>
      <w:lvlText w:val="o"/>
      <w:lvlJc w:val="left"/>
      <w:pPr>
        <w:ind w:left="2496" w:hanging="360"/>
      </w:pPr>
      <w:rPr>
        <w:rFonts w:ascii="Courier New" w:hAnsi="Courier New" w:cs="Courier New" w:hint="default"/>
      </w:rPr>
    </w:lvl>
    <w:lvl w:ilvl="2" w:tplc="04050005" w:tentative="1">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tentative="1">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5">
    <w:nsid w:val="200E77A0"/>
    <w:multiLevelType w:val="hybridMultilevel"/>
    <w:tmpl w:val="0686BCDC"/>
    <w:lvl w:ilvl="0" w:tplc="A1A2698C">
      <w:start w:val="4"/>
      <w:numFmt w:val="bullet"/>
      <w:lvlText w:val="-"/>
      <w:lvlJc w:val="left"/>
      <w:pPr>
        <w:ind w:left="720" w:hanging="360"/>
      </w:pPr>
      <w:rPr>
        <w:rFonts w:ascii="Calibri" w:eastAsia="Calibr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20202303"/>
    <w:multiLevelType w:val="hybridMultilevel"/>
    <w:tmpl w:val="A086AD5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25822289"/>
    <w:multiLevelType w:val="hybridMultilevel"/>
    <w:tmpl w:val="374AA1C4"/>
    <w:lvl w:ilvl="0" w:tplc="FC88AFF0">
      <w:start w:val="1"/>
      <w:numFmt w:val="bullet"/>
      <w:lvlText w:val="-"/>
      <w:lvlJc w:val="left"/>
      <w:pPr>
        <w:ind w:left="720" w:hanging="360"/>
      </w:pPr>
      <w:rPr>
        <w:rFonts w:ascii="Calibri" w:eastAsia="Calibr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26750F29"/>
    <w:multiLevelType w:val="multilevel"/>
    <w:tmpl w:val="BAF6E89E"/>
    <w:lvl w:ilvl="0">
      <w:start w:val="1"/>
      <w:numFmt w:val="decimal"/>
      <w:pStyle w:val="Nadpis1"/>
      <w:lvlText w:val="%1"/>
      <w:lvlJc w:val="left"/>
      <w:pPr>
        <w:ind w:left="432" w:hanging="432"/>
      </w:pPr>
      <w:rPr>
        <w:rFonts w:hint="default"/>
      </w:rPr>
    </w:lvl>
    <w:lvl w:ilvl="1">
      <w:start w:val="1"/>
      <w:numFmt w:val="decimal"/>
      <w:pStyle w:val="Nadpis2"/>
      <w:lvlText w:val="%1.%2"/>
      <w:lvlJc w:val="left"/>
      <w:pPr>
        <w:ind w:left="576" w:hanging="576"/>
      </w:pPr>
      <w:rPr>
        <w:rFonts w:hint="default"/>
        <w:i w:val="0"/>
      </w:rPr>
    </w:lvl>
    <w:lvl w:ilvl="2">
      <w:start w:val="1"/>
      <w:numFmt w:val="decimal"/>
      <w:pStyle w:val="Nadpis3"/>
      <w:lvlText w:val="%1.%2.%3"/>
      <w:lvlJc w:val="left"/>
      <w:pPr>
        <w:ind w:left="720" w:hanging="720"/>
      </w:pPr>
      <w:rPr>
        <w:rFonts w:hint="default"/>
      </w:rPr>
    </w:lvl>
    <w:lvl w:ilvl="3">
      <w:start w:val="1"/>
      <w:numFmt w:val="decimal"/>
      <w:pStyle w:val="Nadpis4"/>
      <w:lvlText w:val="%1.%2.%3.%4"/>
      <w:lvlJc w:val="left"/>
      <w:pPr>
        <w:ind w:left="864" w:hanging="864"/>
      </w:pPr>
      <w:rPr>
        <w:rFonts w:hint="default"/>
      </w:rPr>
    </w:lvl>
    <w:lvl w:ilvl="4">
      <w:start w:val="1"/>
      <w:numFmt w:val="decimal"/>
      <w:pStyle w:val="Nadpis5"/>
      <w:lvlText w:val="%1.%2.%3.%4.%5"/>
      <w:lvlJc w:val="left"/>
      <w:pPr>
        <w:ind w:left="1008" w:hanging="1008"/>
      </w:pPr>
      <w:rPr>
        <w:rFonts w:hint="default"/>
      </w:rPr>
    </w:lvl>
    <w:lvl w:ilvl="5">
      <w:start w:val="1"/>
      <w:numFmt w:val="decimal"/>
      <w:pStyle w:val="Nadpis6"/>
      <w:lvlText w:val="%1.%2.%3.%4.%5.%6"/>
      <w:lvlJc w:val="left"/>
      <w:pPr>
        <w:ind w:left="1152" w:hanging="1152"/>
      </w:pPr>
      <w:rPr>
        <w:rFonts w:hint="default"/>
      </w:rPr>
    </w:lvl>
    <w:lvl w:ilvl="6">
      <w:start w:val="1"/>
      <w:numFmt w:val="decimal"/>
      <w:pStyle w:val="Nadpis7"/>
      <w:lvlText w:val="%1.%2.%3.%4.%5.%6.%7"/>
      <w:lvlJc w:val="left"/>
      <w:pPr>
        <w:ind w:left="1296" w:hanging="1296"/>
      </w:pPr>
      <w:rPr>
        <w:rFonts w:hint="default"/>
      </w:rPr>
    </w:lvl>
    <w:lvl w:ilvl="7">
      <w:start w:val="1"/>
      <w:numFmt w:val="decimal"/>
      <w:pStyle w:val="Nadpis8"/>
      <w:lvlText w:val="%1.%2.%3.%4.%5.%6.%7.%8"/>
      <w:lvlJc w:val="left"/>
      <w:pPr>
        <w:ind w:left="1440" w:hanging="1440"/>
      </w:pPr>
      <w:rPr>
        <w:rFonts w:hint="default"/>
      </w:rPr>
    </w:lvl>
    <w:lvl w:ilvl="8">
      <w:start w:val="1"/>
      <w:numFmt w:val="decimal"/>
      <w:pStyle w:val="Nadpis9"/>
      <w:lvlText w:val="%1.%2.%3.%4.%5.%6.%7.%8.%9"/>
      <w:lvlJc w:val="left"/>
      <w:pPr>
        <w:ind w:left="1584" w:hanging="1584"/>
      </w:pPr>
      <w:rPr>
        <w:rFonts w:hint="default"/>
      </w:rPr>
    </w:lvl>
  </w:abstractNum>
  <w:abstractNum w:abstractNumId="9">
    <w:nsid w:val="2AAD6806"/>
    <w:multiLevelType w:val="hybridMultilevel"/>
    <w:tmpl w:val="42006E2A"/>
    <w:lvl w:ilvl="0" w:tplc="DB8882FA">
      <w:start w:val="7"/>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0">
    <w:nsid w:val="2ADA16A3"/>
    <w:multiLevelType w:val="hybridMultilevel"/>
    <w:tmpl w:val="435EC4D0"/>
    <w:lvl w:ilvl="0" w:tplc="FCA6294A">
      <w:start w:val="8"/>
      <w:numFmt w:val="decimal"/>
      <w:lvlText w:val="%1)"/>
      <w:lvlJc w:val="left"/>
      <w:pPr>
        <w:ind w:left="360" w:hanging="360"/>
      </w:pPr>
      <w:rPr>
        <w:rFonts w:hint="default"/>
        <w:b/>
        <w:i w:val="0"/>
        <w:color w:val="3333CC"/>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32830E3A"/>
    <w:multiLevelType w:val="hybridMultilevel"/>
    <w:tmpl w:val="DD26BB16"/>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35EB2D78"/>
    <w:multiLevelType w:val="multilevel"/>
    <w:tmpl w:val="AA1EE298"/>
    <w:lvl w:ilvl="0">
      <w:start w:val="3"/>
      <w:numFmt w:val="decimal"/>
      <w:lvlText w:val="%1."/>
      <w:lvlJc w:val="left"/>
      <w:pPr>
        <w:ind w:left="1068" w:hanging="360"/>
      </w:pPr>
      <w:rPr>
        <w:rFonts w:ascii="Calibri" w:eastAsia="Times New Roman" w:hAnsi="Calibri"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2148" w:hanging="720"/>
      </w:pPr>
      <w:rPr>
        <w:rFonts w:hint="default"/>
      </w:rPr>
    </w:lvl>
    <w:lvl w:ilvl="3">
      <w:start w:val="1"/>
      <w:numFmt w:val="decimal"/>
      <w:isLgl/>
      <w:lvlText w:val="%1.%2.%3.%4"/>
      <w:lvlJc w:val="left"/>
      <w:pPr>
        <w:ind w:left="2508" w:hanging="72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588" w:hanging="1080"/>
      </w:pPr>
      <w:rPr>
        <w:rFonts w:hint="default"/>
      </w:rPr>
    </w:lvl>
    <w:lvl w:ilvl="6">
      <w:start w:val="1"/>
      <w:numFmt w:val="decimal"/>
      <w:isLgl/>
      <w:lvlText w:val="%1.%2.%3.%4.%5.%6.%7"/>
      <w:lvlJc w:val="left"/>
      <w:pPr>
        <w:ind w:left="4308" w:hanging="1440"/>
      </w:pPr>
      <w:rPr>
        <w:rFonts w:hint="default"/>
      </w:rPr>
    </w:lvl>
    <w:lvl w:ilvl="7">
      <w:start w:val="1"/>
      <w:numFmt w:val="decimal"/>
      <w:isLgl/>
      <w:lvlText w:val="%1.%2.%3.%4.%5.%6.%7.%8"/>
      <w:lvlJc w:val="left"/>
      <w:pPr>
        <w:ind w:left="4668" w:hanging="1440"/>
      </w:pPr>
      <w:rPr>
        <w:rFonts w:hint="default"/>
      </w:rPr>
    </w:lvl>
    <w:lvl w:ilvl="8">
      <w:start w:val="1"/>
      <w:numFmt w:val="decimal"/>
      <w:isLgl/>
      <w:lvlText w:val="%1.%2.%3.%4.%5.%6.%7.%8.%9"/>
      <w:lvlJc w:val="left"/>
      <w:pPr>
        <w:ind w:left="5388" w:hanging="1800"/>
      </w:pPr>
      <w:rPr>
        <w:rFonts w:hint="default"/>
      </w:rPr>
    </w:lvl>
  </w:abstractNum>
  <w:abstractNum w:abstractNumId="13">
    <w:nsid w:val="37697D5B"/>
    <w:multiLevelType w:val="hybridMultilevel"/>
    <w:tmpl w:val="330EF638"/>
    <w:lvl w:ilvl="0" w:tplc="AAEC9890">
      <w:start w:val="8"/>
      <w:numFmt w:val="bullet"/>
      <w:lvlText w:val="-"/>
      <w:lvlJc w:val="left"/>
      <w:pPr>
        <w:ind w:left="720" w:hanging="360"/>
      </w:pPr>
      <w:rPr>
        <w:rFonts w:ascii="Calibri" w:eastAsia="Calibri" w:hAnsi="Calibri" w:cs="Times New Roman" w:hint="default"/>
        <w:i/>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3A8543C2"/>
    <w:multiLevelType w:val="hybridMultilevel"/>
    <w:tmpl w:val="68B2CF50"/>
    <w:lvl w:ilvl="0" w:tplc="1F1A9E04">
      <w:numFmt w:val="bullet"/>
      <w:lvlText w:val="-"/>
      <w:lvlJc w:val="left"/>
      <w:pPr>
        <w:ind w:left="720" w:hanging="360"/>
      </w:pPr>
      <w:rPr>
        <w:rFonts w:ascii="Calibri" w:eastAsia="Calibr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3C763713"/>
    <w:multiLevelType w:val="multilevel"/>
    <w:tmpl w:val="04245C3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400E114C"/>
    <w:multiLevelType w:val="hybridMultilevel"/>
    <w:tmpl w:val="7BA61AF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437945BA"/>
    <w:multiLevelType w:val="hybridMultilevel"/>
    <w:tmpl w:val="49E8D60A"/>
    <w:lvl w:ilvl="0" w:tplc="006A4558">
      <w:start w:val="1"/>
      <w:numFmt w:val="bullet"/>
      <w:lvlText w:val="•"/>
      <w:lvlJc w:val="left"/>
      <w:pPr>
        <w:tabs>
          <w:tab w:val="num" w:pos="720"/>
        </w:tabs>
        <w:ind w:left="720" w:hanging="360"/>
      </w:pPr>
      <w:rPr>
        <w:rFonts w:ascii="Times New Roman" w:hAnsi="Times New Roman" w:hint="default"/>
      </w:rPr>
    </w:lvl>
    <w:lvl w:ilvl="1" w:tplc="A5CC06E2" w:tentative="1">
      <w:start w:val="1"/>
      <w:numFmt w:val="bullet"/>
      <w:lvlText w:val="•"/>
      <w:lvlJc w:val="left"/>
      <w:pPr>
        <w:tabs>
          <w:tab w:val="num" w:pos="1440"/>
        </w:tabs>
        <w:ind w:left="1440" w:hanging="360"/>
      </w:pPr>
      <w:rPr>
        <w:rFonts w:ascii="Times New Roman" w:hAnsi="Times New Roman" w:hint="default"/>
      </w:rPr>
    </w:lvl>
    <w:lvl w:ilvl="2" w:tplc="84D8FD0A" w:tentative="1">
      <w:start w:val="1"/>
      <w:numFmt w:val="bullet"/>
      <w:lvlText w:val="•"/>
      <w:lvlJc w:val="left"/>
      <w:pPr>
        <w:tabs>
          <w:tab w:val="num" w:pos="2160"/>
        </w:tabs>
        <w:ind w:left="2160" w:hanging="360"/>
      </w:pPr>
      <w:rPr>
        <w:rFonts w:ascii="Times New Roman" w:hAnsi="Times New Roman" w:hint="default"/>
      </w:rPr>
    </w:lvl>
    <w:lvl w:ilvl="3" w:tplc="F53EF6E2" w:tentative="1">
      <w:start w:val="1"/>
      <w:numFmt w:val="bullet"/>
      <w:lvlText w:val="•"/>
      <w:lvlJc w:val="left"/>
      <w:pPr>
        <w:tabs>
          <w:tab w:val="num" w:pos="2880"/>
        </w:tabs>
        <w:ind w:left="2880" w:hanging="360"/>
      </w:pPr>
      <w:rPr>
        <w:rFonts w:ascii="Times New Roman" w:hAnsi="Times New Roman" w:hint="default"/>
      </w:rPr>
    </w:lvl>
    <w:lvl w:ilvl="4" w:tplc="F11ECBA6" w:tentative="1">
      <w:start w:val="1"/>
      <w:numFmt w:val="bullet"/>
      <w:lvlText w:val="•"/>
      <w:lvlJc w:val="left"/>
      <w:pPr>
        <w:tabs>
          <w:tab w:val="num" w:pos="3600"/>
        </w:tabs>
        <w:ind w:left="3600" w:hanging="360"/>
      </w:pPr>
      <w:rPr>
        <w:rFonts w:ascii="Times New Roman" w:hAnsi="Times New Roman" w:hint="default"/>
      </w:rPr>
    </w:lvl>
    <w:lvl w:ilvl="5" w:tplc="59905EFC" w:tentative="1">
      <w:start w:val="1"/>
      <w:numFmt w:val="bullet"/>
      <w:lvlText w:val="•"/>
      <w:lvlJc w:val="left"/>
      <w:pPr>
        <w:tabs>
          <w:tab w:val="num" w:pos="4320"/>
        </w:tabs>
        <w:ind w:left="4320" w:hanging="360"/>
      </w:pPr>
      <w:rPr>
        <w:rFonts w:ascii="Times New Roman" w:hAnsi="Times New Roman" w:hint="default"/>
      </w:rPr>
    </w:lvl>
    <w:lvl w:ilvl="6" w:tplc="7F3C89D0" w:tentative="1">
      <w:start w:val="1"/>
      <w:numFmt w:val="bullet"/>
      <w:lvlText w:val="•"/>
      <w:lvlJc w:val="left"/>
      <w:pPr>
        <w:tabs>
          <w:tab w:val="num" w:pos="5040"/>
        </w:tabs>
        <w:ind w:left="5040" w:hanging="360"/>
      </w:pPr>
      <w:rPr>
        <w:rFonts w:ascii="Times New Roman" w:hAnsi="Times New Roman" w:hint="default"/>
      </w:rPr>
    </w:lvl>
    <w:lvl w:ilvl="7" w:tplc="59AA2D72" w:tentative="1">
      <w:start w:val="1"/>
      <w:numFmt w:val="bullet"/>
      <w:lvlText w:val="•"/>
      <w:lvlJc w:val="left"/>
      <w:pPr>
        <w:tabs>
          <w:tab w:val="num" w:pos="5760"/>
        </w:tabs>
        <w:ind w:left="5760" w:hanging="360"/>
      </w:pPr>
      <w:rPr>
        <w:rFonts w:ascii="Times New Roman" w:hAnsi="Times New Roman" w:hint="default"/>
      </w:rPr>
    </w:lvl>
    <w:lvl w:ilvl="8" w:tplc="E9BC84D4" w:tentative="1">
      <w:start w:val="1"/>
      <w:numFmt w:val="bullet"/>
      <w:lvlText w:val="•"/>
      <w:lvlJc w:val="left"/>
      <w:pPr>
        <w:tabs>
          <w:tab w:val="num" w:pos="6480"/>
        </w:tabs>
        <w:ind w:left="6480" w:hanging="360"/>
      </w:pPr>
      <w:rPr>
        <w:rFonts w:ascii="Times New Roman" w:hAnsi="Times New Roman" w:hint="default"/>
      </w:rPr>
    </w:lvl>
  </w:abstractNum>
  <w:abstractNum w:abstractNumId="18">
    <w:nsid w:val="4550405E"/>
    <w:multiLevelType w:val="hybridMultilevel"/>
    <w:tmpl w:val="188C2982"/>
    <w:lvl w:ilvl="0" w:tplc="A62C7BBA">
      <w:start w:val="1"/>
      <w:numFmt w:val="bullet"/>
      <w:lvlText w:val="-"/>
      <w:lvlJc w:val="left"/>
      <w:pPr>
        <w:ind w:left="720" w:hanging="360"/>
      </w:pPr>
      <w:rPr>
        <w:rFonts w:ascii="Calibri" w:eastAsia="Calibr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nsid w:val="46340790"/>
    <w:multiLevelType w:val="hybridMultilevel"/>
    <w:tmpl w:val="BD48EA1A"/>
    <w:lvl w:ilvl="0" w:tplc="42CC04AC">
      <w:start w:val="2"/>
      <w:numFmt w:val="bullet"/>
      <w:lvlText w:val="-"/>
      <w:lvlJc w:val="left"/>
      <w:pPr>
        <w:ind w:left="720" w:hanging="360"/>
      </w:pPr>
      <w:rPr>
        <w:rFonts w:ascii="Calibri" w:eastAsia="Calibr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nsid w:val="47A13FC3"/>
    <w:multiLevelType w:val="hybridMultilevel"/>
    <w:tmpl w:val="AA028A12"/>
    <w:lvl w:ilvl="0" w:tplc="0405000F">
      <w:start w:val="1"/>
      <w:numFmt w:val="decimal"/>
      <w:lvlText w:val="%1."/>
      <w:lvlJc w:val="left"/>
      <w:pPr>
        <w:ind w:left="1800" w:hanging="360"/>
      </w:pPr>
    </w:lvl>
    <w:lvl w:ilvl="1" w:tplc="04050019" w:tentative="1">
      <w:start w:val="1"/>
      <w:numFmt w:val="lowerLetter"/>
      <w:lvlText w:val="%2."/>
      <w:lvlJc w:val="left"/>
      <w:pPr>
        <w:ind w:left="2520" w:hanging="360"/>
      </w:pPr>
    </w:lvl>
    <w:lvl w:ilvl="2" w:tplc="0405001B" w:tentative="1">
      <w:start w:val="1"/>
      <w:numFmt w:val="lowerRoman"/>
      <w:lvlText w:val="%3."/>
      <w:lvlJc w:val="right"/>
      <w:pPr>
        <w:ind w:left="3240" w:hanging="180"/>
      </w:pPr>
    </w:lvl>
    <w:lvl w:ilvl="3" w:tplc="0405000F" w:tentative="1">
      <w:start w:val="1"/>
      <w:numFmt w:val="decimal"/>
      <w:lvlText w:val="%4."/>
      <w:lvlJc w:val="left"/>
      <w:pPr>
        <w:ind w:left="3960" w:hanging="360"/>
      </w:pPr>
    </w:lvl>
    <w:lvl w:ilvl="4" w:tplc="04050019" w:tentative="1">
      <w:start w:val="1"/>
      <w:numFmt w:val="lowerLetter"/>
      <w:lvlText w:val="%5."/>
      <w:lvlJc w:val="left"/>
      <w:pPr>
        <w:ind w:left="4680" w:hanging="360"/>
      </w:pPr>
    </w:lvl>
    <w:lvl w:ilvl="5" w:tplc="0405001B" w:tentative="1">
      <w:start w:val="1"/>
      <w:numFmt w:val="lowerRoman"/>
      <w:lvlText w:val="%6."/>
      <w:lvlJc w:val="right"/>
      <w:pPr>
        <w:ind w:left="5400" w:hanging="180"/>
      </w:pPr>
    </w:lvl>
    <w:lvl w:ilvl="6" w:tplc="0405000F" w:tentative="1">
      <w:start w:val="1"/>
      <w:numFmt w:val="decimal"/>
      <w:lvlText w:val="%7."/>
      <w:lvlJc w:val="left"/>
      <w:pPr>
        <w:ind w:left="6120" w:hanging="360"/>
      </w:pPr>
    </w:lvl>
    <w:lvl w:ilvl="7" w:tplc="04050019" w:tentative="1">
      <w:start w:val="1"/>
      <w:numFmt w:val="lowerLetter"/>
      <w:lvlText w:val="%8."/>
      <w:lvlJc w:val="left"/>
      <w:pPr>
        <w:ind w:left="6840" w:hanging="360"/>
      </w:pPr>
    </w:lvl>
    <w:lvl w:ilvl="8" w:tplc="0405001B" w:tentative="1">
      <w:start w:val="1"/>
      <w:numFmt w:val="lowerRoman"/>
      <w:lvlText w:val="%9."/>
      <w:lvlJc w:val="right"/>
      <w:pPr>
        <w:ind w:left="7560" w:hanging="180"/>
      </w:pPr>
    </w:lvl>
  </w:abstractNum>
  <w:abstractNum w:abstractNumId="21">
    <w:nsid w:val="542A11A7"/>
    <w:multiLevelType w:val="hybridMultilevel"/>
    <w:tmpl w:val="CFEE9062"/>
    <w:lvl w:ilvl="0" w:tplc="04050011">
      <w:start w:val="1"/>
      <w:numFmt w:val="decimal"/>
      <w:lvlText w:val="%1)"/>
      <w:lvlJc w:val="left"/>
      <w:pPr>
        <w:ind w:left="927" w:hanging="360"/>
      </w:p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22">
    <w:nsid w:val="564841BF"/>
    <w:multiLevelType w:val="hybridMultilevel"/>
    <w:tmpl w:val="DD827F3A"/>
    <w:lvl w:ilvl="0" w:tplc="FCA6294A">
      <w:start w:val="8"/>
      <w:numFmt w:val="decimal"/>
      <w:lvlText w:val="%1)"/>
      <w:lvlJc w:val="left"/>
      <w:pPr>
        <w:ind w:left="1146" w:hanging="360"/>
      </w:pPr>
      <w:rPr>
        <w:rFonts w:hint="default"/>
        <w:b/>
        <w:i w:val="0"/>
        <w:color w:val="3333CC"/>
      </w:r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23">
    <w:nsid w:val="57755C31"/>
    <w:multiLevelType w:val="hybridMultilevel"/>
    <w:tmpl w:val="4784FD50"/>
    <w:lvl w:ilvl="0" w:tplc="A1A2698C">
      <w:start w:val="4"/>
      <w:numFmt w:val="bullet"/>
      <w:lvlText w:val="-"/>
      <w:lvlJc w:val="left"/>
      <w:pPr>
        <w:ind w:left="720" w:hanging="360"/>
      </w:pPr>
      <w:rPr>
        <w:rFonts w:ascii="Calibri" w:eastAsia="Calibr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nsid w:val="5DF53A7F"/>
    <w:multiLevelType w:val="hybridMultilevel"/>
    <w:tmpl w:val="72C099AE"/>
    <w:lvl w:ilvl="0" w:tplc="04050011">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5">
    <w:nsid w:val="5FA33F0A"/>
    <w:multiLevelType w:val="hybridMultilevel"/>
    <w:tmpl w:val="AA26FC0A"/>
    <w:lvl w:ilvl="0" w:tplc="CBA29222">
      <w:numFmt w:val="bullet"/>
      <w:lvlText w:val="-"/>
      <w:lvlJc w:val="left"/>
      <w:pPr>
        <w:ind w:left="720" w:hanging="360"/>
      </w:pPr>
      <w:rPr>
        <w:rFonts w:ascii="Calibri" w:eastAsia="Calibr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nsid w:val="63CD695D"/>
    <w:multiLevelType w:val="hybridMultilevel"/>
    <w:tmpl w:val="EDDA6A38"/>
    <w:lvl w:ilvl="0" w:tplc="57889392">
      <w:start w:val="4"/>
      <w:numFmt w:val="bullet"/>
      <w:lvlText w:val="-"/>
      <w:lvlJc w:val="left"/>
      <w:pPr>
        <w:ind w:left="720" w:hanging="360"/>
      </w:pPr>
      <w:rPr>
        <w:rFonts w:ascii="Calibri" w:eastAsia="Calibr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nsid w:val="6A4E0858"/>
    <w:multiLevelType w:val="hybridMultilevel"/>
    <w:tmpl w:val="8412289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nsid w:val="6C1816B9"/>
    <w:multiLevelType w:val="hybridMultilevel"/>
    <w:tmpl w:val="C826CE28"/>
    <w:lvl w:ilvl="0" w:tplc="79B44B82">
      <w:start w:val="1"/>
      <w:numFmt w:val="bullet"/>
      <w:lvlText w:val="•"/>
      <w:lvlJc w:val="left"/>
      <w:pPr>
        <w:tabs>
          <w:tab w:val="num" w:pos="720"/>
        </w:tabs>
        <w:ind w:left="720" w:hanging="360"/>
      </w:pPr>
      <w:rPr>
        <w:rFonts w:ascii="Arial" w:hAnsi="Arial" w:hint="default"/>
      </w:rPr>
    </w:lvl>
    <w:lvl w:ilvl="1" w:tplc="176E58D2">
      <w:start w:val="1"/>
      <w:numFmt w:val="bullet"/>
      <w:lvlText w:val="•"/>
      <w:lvlJc w:val="left"/>
      <w:pPr>
        <w:tabs>
          <w:tab w:val="num" w:pos="1440"/>
        </w:tabs>
        <w:ind w:left="1440" w:hanging="360"/>
      </w:pPr>
      <w:rPr>
        <w:rFonts w:ascii="Arial" w:hAnsi="Arial" w:hint="default"/>
      </w:rPr>
    </w:lvl>
    <w:lvl w:ilvl="2" w:tplc="0A46A358" w:tentative="1">
      <w:start w:val="1"/>
      <w:numFmt w:val="bullet"/>
      <w:lvlText w:val="•"/>
      <w:lvlJc w:val="left"/>
      <w:pPr>
        <w:tabs>
          <w:tab w:val="num" w:pos="2160"/>
        </w:tabs>
        <w:ind w:left="2160" w:hanging="360"/>
      </w:pPr>
      <w:rPr>
        <w:rFonts w:ascii="Arial" w:hAnsi="Arial" w:hint="default"/>
      </w:rPr>
    </w:lvl>
    <w:lvl w:ilvl="3" w:tplc="D78A8630" w:tentative="1">
      <w:start w:val="1"/>
      <w:numFmt w:val="bullet"/>
      <w:lvlText w:val="•"/>
      <w:lvlJc w:val="left"/>
      <w:pPr>
        <w:tabs>
          <w:tab w:val="num" w:pos="2880"/>
        </w:tabs>
        <w:ind w:left="2880" w:hanging="360"/>
      </w:pPr>
      <w:rPr>
        <w:rFonts w:ascii="Arial" w:hAnsi="Arial" w:hint="default"/>
      </w:rPr>
    </w:lvl>
    <w:lvl w:ilvl="4" w:tplc="4D645C72" w:tentative="1">
      <w:start w:val="1"/>
      <w:numFmt w:val="bullet"/>
      <w:lvlText w:val="•"/>
      <w:lvlJc w:val="left"/>
      <w:pPr>
        <w:tabs>
          <w:tab w:val="num" w:pos="3600"/>
        </w:tabs>
        <w:ind w:left="3600" w:hanging="360"/>
      </w:pPr>
      <w:rPr>
        <w:rFonts w:ascii="Arial" w:hAnsi="Arial" w:hint="default"/>
      </w:rPr>
    </w:lvl>
    <w:lvl w:ilvl="5" w:tplc="D3DEA494" w:tentative="1">
      <w:start w:val="1"/>
      <w:numFmt w:val="bullet"/>
      <w:lvlText w:val="•"/>
      <w:lvlJc w:val="left"/>
      <w:pPr>
        <w:tabs>
          <w:tab w:val="num" w:pos="4320"/>
        </w:tabs>
        <w:ind w:left="4320" w:hanging="360"/>
      </w:pPr>
      <w:rPr>
        <w:rFonts w:ascii="Arial" w:hAnsi="Arial" w:hint="default"/>
      </w:rPr>
    </w:lvl>
    <w:lvl w:ilvl="6" w:tplc="33EA23FE" w:tentative="1">
      <w:start w:val="1"/>
      <w:numFmt w:val="bullet"/>
      <w:lvlText w:val="•"/>
      <w:lvlJc w:val="left"/>
      <w:pPr>
        <w:tabs>
          <w:tab w:val="num" w:pos="5040"/>
        </w:tabs>
        <w:ind w:left="5040" w:hanging="360"/>
      </w:pPr>
      <w:rPr>
        <w:rFonts w:ascii="Arial" w:hAnsi="Arial" w:hint="default"/>
      </w:rPr>
    </w:lvl>
    <w:lvl w:ilvl="7" w:tplc="0B40F73E" w:tentative="1">
      <w:start w:val="1"/>
      <w:numFmt w:val="bullet"/>
      <w:lvlText w:val="•"/>
      <w:lvlJc w:val="left"/>
      <w:pPr>
        <w:tabs>
          <w:tab w:val="num" w:pos="5760"/>
        </w:tabs>
        <w:ind w:left="5760" w:hanging="360"/>
      </w:pPr>
      <w:rPr>
        <w:rFonts w:ascii="Arial" w:hAnsi="Arial" w:hint="default"/>
      </w:rPr>
    </w:lvl>
    <w:lvl w:ilvl="8" w:tplc="B1047374" w:tentative="1">
      <w:start w:val="1"/>
      <w:numFmt w:val="bullet"/>
      <w:lvlText w:val="•"/>
      <w:lvlJc w:val="left"/>
      <w:pPr>
        <w:tabs>
          <w:tab w:val="num" w:pos="6480"/>
        </w:tabs>
        <w:ind w:left="6480" w:hanging="360"/>
      </w:pPr>
      <w:rPr>
        <w:rFonts w:ascii="Arial" w:hAnsi="Arial" w:hint="default"/>
      </w:rPr>
    </w:lvl>
  </w:abstractNum>
  <w:abstractNum w:abstractNumId="29">
    <w:nsid w:val="75FC1ED7"/>
    <w:multiLevelType w:val="hybridMultilevel"/>
    <w:tmpl w:val="97E233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nsid w:val="78C872CD"/>
    <w:multiLevelType w:val="hybridMultilevel"/>
    <w:tmpl w:val="D9E811B4"/>
    <w:lvl w:ilvl="0" w:tplc="0405000F">
      <w:start w:val="1"/>
      <w:numFmt w:val="decimal"/>
      <w:lvlText w:val="%1."/>
      <w:lvlJc w:val="left"/>
      <w:pPr>
        <w:ind w:left="1800" w:hanging="360"/>
      </w:pPr>
    </w:lvl>
    <w:lvl w:ilvl="1" w:tplc="04050019" w:tentative="1">
      <w:start w:val="1"/>
      <w:numFmt w:val="lowerLetter"/>
      <w:lvlText w:val="%2."/>
      <w:lvlJc w:val="left"/>
      <w:pPr>
        <w:ind w:left="2520" w:hanging="360"/>
      </w:pPr>
    </w:lvl>
    <w:lvl w:ilvl="2" w:tplc="0405001B" w:tentative="1">
      <w:start w:val="1"/>
      <w:numFmt w:val="lowerRoman"/>
      <w:lvlText w:val="%3."/>
      <w:lvlJc w:val="right"/>
      <w:pPr>
        <w:ind w:left="3240" w:hanging="180"/>
      </w:pPr>
    </w:lvl>
    <w:lvl w:ilvl="3" w:tplc="0405000F" w:tentative="1">
      <w:start w:val="1"/>
      <w:numFmt w:val="decimal"/>
      <w:lvlText w:val="%4."/>
      <w:lvlJc w:val="left"/>
      <w:pPr>
        <w:ind w:left="3960" w:hanging="360"/>
      </w:pPr>
    </w:lvl>
    <w:lvl w:ilvl="4" w:tplc="04050019" w:tentative="1">
      <w:start w:val="1"/>
      <w:numFmt w:val="lowerLetter"/>
      <w:lvlText w:val="%5."/>
      <w:lvlJc w:val="left"/>
      <w:pPr>
        <w:ind w:left="4680" w:hanging="360"/>
      </w:pPr>
    </w:lvl>
    <w:lvl w:ilvl="5" w:tplc="0405001B" w:tentative="1">
      <w:start w:val="1"/>
      <w:numFmt w:val="lowerRoman"/>
      <w:lvlText w:val="%6."/>
      <w:lvlJc w:val="right"/>
      <w:pPr>
        <w:ind w:left="5400" w:hanging="180"/>
      </w:pPr>
    </w:lvl>
    <w:lvl w:ilvl="6" w:tplc="0405000F" w:tentative="1">
      <w:start w:val="1"/>
      <w:numFmt w:val="decimal"/>
      <w:lvlText w:val="%7."/>
      <w:lvlJc w:val="left"/>
      <w:pPr>
        <w:ind w:left="6120" w:hanging="360"/>
      </w:pPr>
    </w:lvl>
    <w:lvl w:ilvl="7" w:tplc="04050019" w:tentative="1">
      <w:start w:val="1"/>
      <w:numFmt w:val="lowerLetter"/>
      <w:lvlText w:val="%8."/>
      <w:lvlJc w:val="left"/>
      <w:pPr>
        <w:ind w:left="6840" w:hanging="360"/>
      </w:pPr>
    </w:lvl>
    <w:lvl w:ilvl="8" w:tplc="0405001B" w:tentative="1">
      <w:start w:val="1"/>
      <w:numFmt w:val="lowerRoman"/>
      <w:lvlText w:val="%9."/>
      <w:lvlJc w:val="right"/>
      <w:pPr>
        <w:ind w:left="7560" w:hanging="180"/>
      </w:pPr>
    </w:lvl>
  </w:abstractNum>
  <w:abstractNum w:abstractNumId="31">
    <w:nsid w:val="7AE8638F"/>
    <w:multiLevelType w:val="hybridMultilevel"/>
    <w:tmpl w:val="8F90FA28"/>
    <w:lvl w:ilvl="0" w:tplc="9C42F6A8">
      <w:start w:val="1"/>
      <w:numFmt w:val="decimal"/>
      <w:lvlText w:val="%1)"/>
      <w:lvlJc w:val="left"/>
      <w:pPr>
        <w:ind w:left="360" w:hanging="360"/>
      </w:pPr>
      <w:rPr>
        <w:b/>
        <w:i w:val="0"/>
        <w:color w:val="auto"/>
        <w:sz w:val="24"/>
      </w:rPr>
    </w:lvl>
    <w:lvl w:ilvl="1" w:tplc="04050019" w:tentative="1">
      <w:start w:val="1"/>
      <w:numFmt w:val="lowerLetter"/>
      <w:lvlText w:val="%2."/>
      <w:lvlJc w:val="left"/>
      <w:pPr>
        <w:ind w:left="371" w:hanging="360"/>
      </w:pPr>
    </w:lvl>
    <w:lvl w:ilvl="2" w:tplc="0405001B" w:tentative="1">
      <w:start w:val="1"/>
      <w:numFmt w:val="lowerRoman"/>
      <w:lvlText w:val="%3."/>
      <w:lvlJc w:val="right"/>
      <w:pPr>
        <w:ind w:left="1091" w:hanging="180"/>
      </w:pPr>
    </w:lvl>
    <w:lvl w:ilvl="3" w:tplc="0405000F" w:tentative="1">
      <w:start w:val="1"/>
      <w:numFmt w:val="decimal"/>
      <w:lvlText w:val="%4."/>
      <w:lvlJc w:val="left"/>
      <w:pPr>
        <w:ind w:left="1811" w:hanging="360"/>
      </w:pPr>
    </w:lvl>
    <w:lvl w:ilvl="4" w:tplc="04050019" w:tentative="1">
      <w:start w:val="1"/>
      <w:numFmt w:val="lowerLetter"/>
      <w:lvlText w:val="%5."/>
      <w:lvlJc w:val="left"/>
      <w:pPr>
        <w:ind w:left="2531" w:hanging="360"/>
      </w:pPr>
    </w:lvl>
    <w:lvl w:ilvl="5" w:tplc="0405001B" w:tentative="1">
      <w:start w:val="1"/>
      <w:numFmt w:val="lowerRoman"/>
      <w:lvlText w:val="%6."/>
      <w:lvlJc w:val="right"/>
      <w:pPr>
        <w:ind w:left="3251" w:hanging="180"/>
      </w:pPr>
    </w:lvl>
    <w:lvl w:ilvl="6" w:tplc="0405000F" w:tentative="1">
      <w:start w:val="1"/>
      <w:numFmt w:val="decimal"/>
      <w:lvlText w:val="%7."/>
      <w:lvlJc w:val="left"/>
      <w:pPr>
        <w:ind w:left="3971" w:hanging="360"/>
      </w:pPr>
    </w:lvl>
    <w:lvl w:ilvl="7" w:tplc="04050019" w:tentative="1">
      <w:start w:val="1"/>
      <w:numFmt w:val="lowerLetter"/>
      <w:lvlText w:val="%8."/>
      <w:lvlJc w:val="left"/>
      <w:pPr>
        <w:ind w:left="4691" w:hanging="360"/>
      </w:pPr>
    </w:lvl>
    <w:lvl w:ilvl="8" w:tplc="0405001B" w:tentative="1">
      <w:start w:val="1"/>
      <w:numFmt w:val="lowerRoman"/>
      <w:lvlText w:val="%9."/>
      <w:lvlJc w:val="right"/>
      <w:pPr>
        <w:ind w:left="5411" w:hanging="180"/>
      </w:pPr>
    </w:lvl>
  </w:abstractNum>
  <w:abstractNum w:abstractNumId="32">
    <w:nsid w:val="7E625406"/>
    <w:multiLevelType w:val="hybridMultilevel"/>
    <w:tmpl w:val="16E4A5F8"/>
    <w:lvl w:ilvl="0" w:tplc="A57C252C">
      <w:start w:val="1"/>
      <w:numFmt w:val="bullet"/>
      <w:lvlText w:val="•"/>
      <w:lvlJc w:val="left"/>
      <w:pPr>
        <w:tabs>
          <w:tab w:val="num" w:pos="720"/>
        </w:tabs>
        <w:ind w:left="720" w:hanging="360"/>
      </w:pPr>
      <w:rPr>
        <w:rFonts w:ascii="Arial" w:hAnsi="Arial" w:hint="default"/>
      </w:rPr>
    </w:lvl>
    <w:lvl w:ilvl="1" w:tplc="6C0478A4">
      <w:start w:val="1"/>
      <w:numFmt w:val="bullet"/>
      <w:lvlText w:val="•"/>
      <w:lvlJc w:val="left"/>
      <w:pPr>
        <w:tabs>
          <w:tab w:val="num" w:pos="1440"/>
        </w:tabs>
        <w:ind w:left="1440" w:hanging="360"/>
      </w:pPr>
      <w:rPr>
        <w:rFonts w:ascii="Arial" w:hAnsi="Arial" w:hint="default"/>
      </w:rPr>
    </w:lvl>
    <w:lvl w:ilvl="2" w:tplc="D1AAF4C6" w:tentative="1">
      <w:start w:val="1"/>
      <w:numFmt w:val="bullet"/>
      <w:lvlText w:val="•"/>
      <w:lvlJc w:val="left"/>
      <w:pPr>
        <w:tabs>
          <w:tab w:val="num" w:pos="2160"/>
        </w:tabs>
        <w:ind w:left="2160" w:hanging="360"/>
      </w:pPr>
      <w:rPr>
        <w:rFonts w:ascii="Arial" w:hAnsi="Arial" w:hint="default"/>
      </w:rPr>
    </w:lvl>
    <w:lvl w:ilvl="3" w:tplc="F6AA73CC" w:tentative="1">
      <w:start w:val="1"/>
      <w:numFmt w:val="bullet"/>
      <w:lvlText w:val="•"/>
      <w:lvlJc w:val="left"/>
      <w:pPr>
        <w:tabs>
          <w:tab w:val="num" w:pos="2880"/>
        </w:tabs>
        <w:ind w:left="2880" w:hanging="360"/>
      </w:pPr>
      <w:rPr>
        <w:rFonts w:ascii="Arial" w:hAnsi="Arial" w:hint="default"/>
      </w:rPr>
    </w:lvl>
    <w:lvl w:ilvl="4" w:tplc="C0BA32AC" w:tentative="1">
      <w:start w:val="1"/>
      <w:numFmt w:val="bullet"/>
      <w:lvlText w:val="•"/>
      <w:lvlJc w:val="left"/>
      <w:pPr>
        <w:tabs>
          <w:tab w:val="num" w:pos="3600"/>
        </w:tabs>
        <w:ind w:left="3600" w:hanging="360"/>
      </w:pPr>
      <w:rPr>
        <w:rFonts w:ascii="Arial" w:hAnsi="Arial" w:hint="default"/>
      </w:rPr>
    </w:lvl>
    <w:lvl w:ilvl="5" w:tplc="7FC2B708" w:tentative="1">
      <w:start w:val="1"/>
      <w:numFmt w:val="bullet"/>
      <w:lvlText w:val="•"/>
      <w:lvlJc w:val="left"/>
      <w:pPr>
        <w:tabs>
          <w:tab w:val="num" w:pos="4320"/>
        </w:tabs>
        <w:ind w:left="4320" w:hanging="360"/>
      </w:pPr>
      <w:rPr>
        <w:rFonts w:ascii="Arial" w:hAnsi="Arial" w:hint="default"/>
      </w:rPr>
    </w:lvl>
    <w:lvl w:ilvl="6" w:tplc="3C9C7C3C" w:tentative="1">
      <w:start w:val="1"/>
      <w:numFmt w:val="bullet"/>
      <w:lvlText w:val="•"/>
      <w:lvlJc w:val="left"/>
      <w:pPr>
        <w:tabs>
          <w:tab w:val="num" w:pos="5040"/>
        </w:tabs>
        <w:ind w:left="5040" w:hanging="360"/>
      </w:pPr>
      <w:rPr>
        <w:rFonts w:ascii="Arial" w:hAnsi="Arial" w:hint="default"/>
      </w:rPr>
    </w:lvl>
    <w:lvl w:ilvl="7" w:tplc="8EB2C160" w:tentative="1">
      <w:start w:val="1"/>
      <w:numFmt w:val="bullet"/>
      <w:lvlText w:val="•"/>
      <w:lvlJc w:val="left"/>
      <w:pPr>
        <w:tabs>
          <w:tab w:val="num" w:pos="5760"/>
        </w:tabs>
        <w:ind w:left="5760" w:hanging="360"/>
      </w:pPr>
      <w:rPr>
        <w:rFonts w:ascii="Arial" w:hAnsi="Arial" w:hint="default"/>
      </w:rPr>
    </w:lvl>
    <w:lvl w:ilvl="8" w:tplc="F676C086"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27"/>
  </w:num>
  <w:num w:numId="3">
    <w:abstractNumId w:val="31"/>
  </w:num>
  <w:num w:numId="4">
    <w:abstractNumId w:val="21"/>
  </w:num>
  <w:num w:numId="5">
    <w:abstractNumId w:val="0"/>
  </w:num>
  <w:num w:numId="6">
    <w:abstractNumId w:val="26"/>
  </w:num>
  <w:num w:numId="7">
    <w:abstractNumId w:val="1"/>
  </w:num>
  <w:num w:numId="8">
    <w:abstractNumId w:val="23"/>
  </w:num>
  <w:num w:numId="9">
    <w:abstractNumId w:val="5"/>
  </w:num>
  <w:num w:numId="10">
    <w:abstractNumId w:val="25"/>
  </w:num>
  <w:num w:numId="11">
    <w:abstractNumId w:val="29"/>
  </w:num>
  <w:num w:numId="12">
    <w:abstractNumId w:val="18"/>
  </w:num>
  <w:num w:numId="13">
    <w:abstractNumId w:val="9"/>
  </w:num>
  <w:num w:numId="14">
    <w:abstractNumId w:val="10"/>
  </w:num>
  <w:num w:numId="15">
    <w:abstractNumId w:val="22"/>
  </w:num>
  <w:num w:numId="16">
    <w:abstractNumId w:val="7"/>
  </w:num>
  <w:num w:numId="17">
    <w:abstractNumId w:val="14"/>
  </w:num>
  <w:num w:numId="18">
    <w:abstractNumId w:val="32"/>
  </w:num>
  <w:num w:numId="19">
    <w:abstractNumId w:val="20"/>
  </w:num>
  <w:num w:numId="20">
    <w:abstractNumId w:val="30"/>
  </w:num>
  <w:num w:numId="21">
    <w:abstractNumId w:val="16"/>
  </w:num>
  <w:num w:numId="22">
    <w:abstractNumId w:val="13"/>
  </w:num>
  <w:num w:numId="23">
    <w:abstractNumId w:val="17"/>
  </w:num>
  <w:num w:numId="24">
    <w:abstractNumId w:val="28"/>
  </w:num>
  <w:num w:numId="25">
    <w:abstractNumId w:val="2"/>
  </w:num>
  <w:num w:numId="26">
    <w:abstractNumId w:val="12"/>
  </w:num>
  <w:num w:numId="27">
    <w:abstractNumId w:val="4"/>
  </w:num>
  <w:num w:numId="28">
    <w:abstractNumId w:val="19"/>
  </w:num>
  <w:num w:numId="29">
    <w:abstractNumId w:val="24"/>
  </w:num>
  <w:num w:numId="30">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num>
  <w:num w:numId="32">
    <w:abstractNumId w:val="8"/>
  </w:num>
  <w:num w:numId="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7724"/>
    <w:rsid w:val="000142EF"/>
    <w:rsid w:val="00023A36"/>
    <w:rsid w:val="0002623E"/>
    <w:rsid w:val="00037CA3"/>
    <w:rsid w:val="0004682B"/>
    <w:rsid w:val="0005611D"/>
    <w:rsid w:val="00062F7F"/>
    <w:rsid w:val="00064654"/>
    <w:rsid w:val="0006746C"/>
    <w:rsid w:val="000769DF"/>
    <w:rsid w:val="00080250"/>
    <w:rsid w:val="00094BC7"/>
    <w:rsid w:val="000A1E20"/>
    <w:rsid w:val="000A288A"/>
    <w:rsid w:val="000A7297"/>
    <w:rsid w:val="000B1D3C"/>
    <w:rsid w:val="000B20C4"/>
    <w:rsid w:val="000B2DD6"/>
    <w:rsid w:val="000C426D"/>
    <w:rsid w:val="000C577A"/>
    <w:rsid w:val="000C67F3"/>
    <w:rsid w:val="000C7A88"/>
    <w:rsid w:val="000D6603"/>
    <w:rsid w:val="000E0B82"/>
    <w:rsid w:val="000E1147"/>
    <w:rsid w:val="000E3F03"/>
    <w:rsid w:val="000E5885"/>
    <w:rsid w:val="001016CF"/>
    <w:rsid w:val="0010299C"/>
    <w:rsid w:val="00110F53"/>
    <w:rsid w:val="001171C2"/>
    <w:rsid w:val="00132F3C"/>
    <w:rsid w:val="00145046"/>
    <w:rsid w:val="001507BD"/>
    <w:rsid w:val="00155821"/>
    <w:rsid w:val="001657D6"/>
    <w:rsid w:val="001711CC"/>
    <w:rsid w:val="00174DA7"/>
    <w:rsid w:val="00175A7D"/>
    <w:rsid w:val="00187048"/>
    <w:rsid w:val="00191DF1"/>
    <w:rsid w:val="001B6E47"/>
    <w:rsid w:val="001C27EB"/>
    <w:rsid w:val="001C5B2E"/>
    <w:rsid w:val="001C60F0"/>
    <w:rsid w:val="001C712C"/>
    <w:rsid w:val="001E2484"/>
    <w:rsid w:val="001F0842"/>
    <w:rsid w:val="001F0D2C"/>
    <w:rsid w:val="001F0F65"/>
    <w:rsid w:val="0020100A"/>
    <w:rsid w:val="0020407B"/>
    <w:rsid w:val="002054DB"/>
    <w:rsid w:val="00224683"/>
    <w:rsid w:val="0023147A"/>
    <w:rsid w:val="002438FF"/>
    <w:rsid w:val="00245392"/>
    <w:rsid w:val="00245847"/>
    <w:rsid w:val="00246C15"/>
    <w:rsid w:val="00252CD6"/>
    <w:rsid w:val="00255F02"/>
    <w:rsid w:val="002578C9"/>
    <w:rsid w:val="002700F9"/>
    <w:rsid w:val="0027200A"/>
    <w:rsid w:val="00272A86"/>
    <w:rsid w:val="00274A55"/>
    <w:rsid w:val="00285CFC"/>
    <w:rsid w:val="00292B52"/>
    <w:rsid w:val="002A1172"/>
    <w:rsid w:val="002A121E"/>
    <w:rsid w:val="002B15EF"/>
    <w:rsid w:val="002B19CC"/>
    <w:rsid w:val="002B2882"/>
    <w:rsid w:val="002B3674"/>
    <w:rsid w:val="002C26BF"/>
    <w:rsid w:val="002D4C99"/>
    <w:rsid w:val="002F1DEF"/>
    <w:rsid w:val="003169D4"/>
    <w:rsid w:val="00341896"/>
    <w:rsid w:val="00343887"/>
    <w:rsid w:val="00346851"/>
    <w:rsid w:val="00347296"/>
    <w:rsid w:val="003502EE"/>
    <w:rsid w:val="00363168"/>
    <w:rsid w:val="0037383F"/>
    <w:rsid w:val="00375E37"/>
    <w:rsid w:val="00376DA2"/>
    <w:rsid w:val="00380B6B"/>
    <w:rsid w:val="00380F21"/>
    <w:rsid w:val="00382414"/>
    <w:rsid w:val="00387010"/>
    <w:rsid w:val="00393C64"/>
    <w:rsid w:val="0039548E"/>
    <w:rsid w:val="003A0067"/>
    <w:rsid w:val="003B0CA2"/>
    <w:rsid w:val="003B5454"/>
    <w:rsid w:val="003C2A82"/>
    <w:rsid w:val="003D115C"/>
    <w:rsid w:val="003D1C71"/>
    <w:rsid w:val="003E3E2A"/>
    <w:rsid w:val="003F417B"/>
    <w:rsid w:val="004155FC"/>
    <w:rsid w:val="00415DC8"/>
    <w:rsid w:val="00416940"/>
    <w:rsid w:val="00417F75"/>
    <w:rsid w:val="0042436C"/>
    <w:rsid w:val="0044415D"/>
    <w:rsid w:val="00444888"/>
    <w:rsid w:val="004635FB"/>
    <w:rsid w:val="00467E34"/>
    <w:rsid w:val="0048614F"/>
    <w:rsid w:val="004921CE"/>
    <w:rsid w:val="00493AFA"/>
    <w:rsid w:val="004B59A5"/>
    <w:rsid w:val="004E54B4"/>
    <w:rsid w:val="004F62B3"/>
    <w:rsid w:val="00500E93"/>
    <w:rsid w:val="0050107D"/>
    <w:rsid w:val="005207E5"/>
    <w:rsid w:val="00525792"/>
    <w:rsid w:val="00526420"/>
    <w:rsid w:val="0052659A"/>
    <w:rsid w:val="00534583"/>
    <w:rsid w:val="005367E0"/>
    <w:rsid w:val="00541566"/>
    <w:rsid w:val="005444E0"/>
    <w:rsid w:val="00547B40"/>
    <w:rsid w:val="0056378F"/>
    <w:rsid w:val="00580A35"/>
    <w:rsid w:val="00582285"/>
    <w:rsid w:val="005826C5"/>
    <w:rsid w:val="005849AD"/>
    <w:rsid w:val="00584EB1"/>
    <w:rsid w:val="00585ADE"/>
    <w:rsid w:val="005A6642"/>
    <w:rsid w:val="005B0DD6"/>
    <w:rsid w:val="005B206C"/>
    <w:rsid w:val="005B739B"/>
    <w:rsid w:val="005B7BA1"/>
    <w:rsid w:val="005C3427"/>
    <w:rsid w:val="005D3E44"/>
    <w:rsid w:val="005F62F4"/>
    <w:rsid w:val="00602042"/>
    <w:rsid w:val="00610E8D"/>
    <w:rsid w:val="00614F2D"/>
    <w:rsid w:val="006209BE"/>
    <w:rsid w:val="00631AF7"/>
    <w:rsid w:val="00637E6A"/>
    <w:rsid w:val="00640A81"/>
    <w:rsid w:val="0064748D"/>
    <w:rsid w:val="006515F1"/>
    <w:rsid w:val="006559EA"/>
    <w:rsid w:val="00665A47"/>
    <w:rsid w:val="00666915"/>
    <w:rsid w:val="00687597"/>
    <w:rsid w:val="00690800"/>
    <w:rsid w:val="006A2A4A"/>
    <w:rsid w:val="006C05FD"/>
    <w:rsid w:val="006C6C4C"/>
    <w:rsid w:val="006C7EC0"/>
    <w:rsid w:val="006C7F0D"/>
    <w:rsid w:val="006E0631"/>
    <w:rsid w:val="006E3B03"/>
    <w:rsid w:val="00701BC4"/>
    <w:rsid w:val="00710208"/>
    <w:rsid w:val="007228F5"/>
    <w:rsid w:val="00725DC2"/>
    <w:rsid w:val="007314E0"/>
    <w:rsid w:val="00742A33"/>
    <w:rsid w:val="00753D92"/>
    <w:rsid w:val="00762AC9"/>
    <w:rsid w:val="0076433C"/>
    <w:rsid w:val="00777AEA"/>
    <w:rsid w:val="00783606"/>
    <w:rsid w:val="00794A61"/>
    <w:rsid w:val="00794AA9"/>
    <w:rsid w:val="007968BF"/>
    <w:rsid w:val="007A7B7E"/>
    <w:rsid w:val="007B7756"/>
    <w:rsid w:val="007C1708"/>
    <w:rsid w:val="007C73AA"/>
    <w:rsid w:val="007C7A3A"/>
    <w:rsid w:val="007D5642"/>
    <w:rsid w:val="007D652F"/>
    <w:rsid w:val="007E0B6E"/>
    <w:rsid w:val="007E1C4F"/>
    <w:rsid w:val="007F4F8D"/>
    <w:rsid w:val="0080364B"/>
    <w:rsid w:val="00816F9A"/>
    <w:rsid w:val="00820F1C"/>
    <w:rsid w:val="008231E2"/>
    <w:rsid w:val="008316FB"/>
    <w:rsid w:val="008413CB"/>
    <w:rsid w:val="0084551E"/>
    <w:rsid w:val="008601D5"/>
    <w:rsid w:val="00862ACF"/>
    <w:rsid w:val="008871FD"/>
    <w:rsid w:val="00887307"/>
    <w:rsid w:val="008A7492"/>
    <w:rsid w:val="00904198"/>
    <w:rsid w:val="00907724"/>
    <w:rsid w:val="009156D0"/>
    <w:rsid w:val="00915847"/>
    <w:rsid w:val="00917584"/>
    <w:rsid w:val="009209E6"/>
    <w:rsid w:val="00920FFE"/>
    <w:rsid w:val="00921C8E"/>
    <w:rsid w:val="009246B2"/>
    <w:rsid w:val="00926C4F"/>
    <w:rsid w:val="009313ED"/>
    <w:rsid w:val="009323E0"/>
    <w:rsid w:val="009369E1"/>
    <w:rsid w:val="00943EE9"/>
    <w:rsid w:val="00950E67"/>
    <w:rsid w:val="00962670"/>
    <w:rsid w:val="00965D0B"/>
    <w:rsid w:val="00982667"/>
    <w:rsid w:val="0099311F"/>
    <w:rsid w:val="009964AE"/>
    <w:rsid w:val="009A603F"/>
    <w:rsid w:val="009A737C"/>
    <w:rsid w:val="009B3F15"/>
    <w:rsid w:val="009B6ABA"/>
    <w:rsid w:val="009C3240"/>
    <w:rsid w:val="009C39C1"/>
    <w:rsid w:val="009D667E"/>
    <w:rsid w:val="009F6F89"/>
    <w:rsid w:val="009F7A10"/>
    <w:rsid w:val="00A041CC"/>
    <w:rsid w:val="00A05A73"/>
    <w:rsid w:val="00A12BCD"/>
    <w:rsid w:val="00A13398"/>
    <w:rsid w:val="00A15657"/>
    <w:rsid w:val="00A3420D"/>
    <w:rsid w:val="00A35381"/>
    <w:rsid w:val="00A364C5"/>
    <w:rsid w:val="00A46858"/>
    <w:rsid w:val="00A77FB1"/>
    <w:rsid w:val="00A814E4"/>
    <w:rsid w:val="00A91EF0"/>
    <w:rsid w:val="00AA2020"/>
    <w:rsid w:val="00AA3761"/>
    <w:rsid w:val="00AB5D8C"/>
    <w:rsid w:val="00AB7FC7"/>
    <w:rsid w:val="00AD350F"/>
    <w:rsid w:val="00AE0C68"/>
    <w:rsid w:val="00AE3466"/>
    <w:rsid w:val="00B126D9"/>
    <w:rsid w:val="00B23592"/>
    <w:rsid w:val="00B278FA"/>
    <w:rsid w:val="00B403A6"/>
    <w:rsid w:val="00B47026"/>
    <w:rsid w:val="00B6020E"/>
    <w:rsid w:val="00B649BD"/>
    <w:rsid w:val="00B64F2F"/>
    <w:rsid w:val="00B724BD"/>
    <w:rsid w:val="00B811D9"/>
    <w:rsid w:val="00B9131F"/>
    <w:rsid w:val="00B95953"/>
    <w:rsid w:val="00BA596C"/>
    <w:rsid w:val="00BC1903"/>
    <w:rsid w:val="00BC3F2E"/>
    <w:rsid w:val="00BC58BC"/>
    <w:rsid w:val="00BD620F"/>
    <w:rsid w:val="00BF656A"/>
    <w:rsid w:val="00BF79B2"/>
    <w:rsid w:val="00C00F69"/>
    <w:rsid w:val="00C3022E"/>
    <w:rsid w:val="00C4191E"/>
    <w:rsid w:val="00C44B26"/>
    <w:rsid w:val="00C47412"/>
    <w:rsid w:val="00C47A8E"/>
    <w:rsid w:val="00C63FD9"/>
    <w:rsid w:val="00C72EF4"/>
    <w:rsid w:val="00C83B82"/>
    <w:rsid w:val="00C85EAD"/>
    <w:rsid w:val="00C900C6"/>
    <w:rsid w:val="00C92756"/>
    <w:rsid w:val="00CA591F"/>
    <w:rsid w:val="00CB11DD"/>
    <w:rsid w:val="00CB7660"/>
    <w:rsid w:val="00CC4FD6"/>
    <w:rsid w:val="00CE57EC"/>
    <w:rsid w:val="00CF1648"/>
    <w:rsid w:val="00D342BF"/>
    <w:rsid w:val="00D4751F"/>
    <w:rsid w:val="00D5380E"/>
    <w:rsid w:val="00D61DB0"/>
    <w:rsid w:val="00D81513"/>
    <w:rsid w:val="00D90FC9"/>
    <w:rsid w:val="00D92B28"/>
    <w:rsid w:val="00D934A5"/>
    <w:rsid w:val="00D97CBB"/>
    <w:rsid w:val="00DA249E"/>
    <w:rsid w:val="00DA78D1"/>
    <w:rsid w:val="00DA796C"/>
    <w:rsid w:val="00DD7109"/>
    <w:rsid w:val="00DD7700"/>
    <w:rsid w:val="00DF48D0"/>
    <w:rsid w:val="00E006BA"/>
    <w:rsid w:val="00E00A74"/>
    <w:rsid w:val="00E05A79"/>
    <w:rsid w:val="00E0726A"/>
    <w:rsid w:val="00E12A4B"/>
    <w:rsid w:val="00E14389"/>
    <w:rsid w:val="00E22A43"/>
    <w:rsid w:val="00E30455"/>
    <w:rsid w:val="00E31A5F"/>
    <w:rsid w:val="00E55C58"/>
    <w:rsid w:val="00E60A5B"/>
    <w:rsid w:val="00E63816"/>
    <w:rsid w:val="00E64C9D"/>
    <w:rsid w:val="00E67394"/>
    <w:rsid w:val="00E67635"/>
    <w:rsid w:val="00E9168B"/>
    <w:rsid w:val="00EF1C1D"/>
    <w:rsid w:val="00EF2726"/>
    <w:rsid w:val="00F04946"/>
    <w:rsid w:val="00F26FDC"/>
    <w:rsid w:val="00F27348"/>
    <w:rsid w:val="00F50501"/>
    <w:rsid w:val="00F55ABD"/>
    <w:rsid w:val="00F5734E"/>
    <w:rsid w:val="00F8040E"/>
    <w:rsid w:val="00F83148"/>
    <w:rsid w:val="00FA2059"/>
    <w:rsid w:val="00FA5F00"/>
    <w:rsid w:val="00FB02FF"/>
    <w:rsid w:val="00FB2AF6"/>
    <w:rsid w:val="00FB615A"/>
    <w:rsid w:val="00FE0F52"/>
    <w:rsid w:val="00FF2F7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pPr>
      <w:spacing w:after="200" w:line="276" w:lineRule="auto"/>
    </w:pPr>
    <w:rPr>
      <w:sz w:val="22"/>
      <w:szCs w:val="22"/>
      <w:lang w:eastAsia="en-US"/>
    </w:rPr>
  </w:style>
  <w:style w:type="paragraph" w:styleId="Nadpis1">
    <w:name w:val="heading 1"/>
    <w:basedOn w:val="Normln"/>
    <w:next w:val="Normln"/>
    <w:link w:val="Nadpis1Char"/>
    <w:uiPriority w:val="9"/>
    <w:qFormat/>
    <w:rsid w:val="000C577A"/>
    <w:pPr>
      <w:keepNext/>
      <w:keepLines/>
      <w:pageBreakBefore/>
      <w:numPr>
        <w:numId w:val="32"/>
      </w:numPr>
      <w:spacing w:before="480" w:after="480"/>
      <w:outlineLvl w:val="0"/>
    </w:pPr>
    <w:rPr>
      <w:rFonts w:ascii="Cambria" w:eastAsia="Times New Roman" w:hAnsi="Cambria"/>
      <w:b/>
      <w:bCs/>
      <w:sz w:val="28"/>
      <w:szCs w:val="28"/>
    </w:rPr>
  </w:style>
  <w:style w:type="paragraph" w:styleId="Nadpis2">
    <w:name w:val="heading 2"/>
    <w:basedOn w:val="Normln"/>
    <w:next w:val="Normln"/>
    <w:link w:val="Nadpis2Char"/>
    <w:uiPriority w:val="9"/>
    <w:unhideWhenUsed/>
    <w:qFormat/>
    <w:rsid w:val="000C577A"/>
    <w:pPr>
      <w:keepNext/>
      <w:keepLines/>
      <w:numPr>
        <w:ilvl w:val="1"/>
        <w:numId w:val="32"/>
      </w:numPr>
      <w:spacing w:before="200"/>
      <w:outlineLvl w:val="1"/>
    </w:pPr>
    <w:rPr>
      <w:rFonts w:ascii="Cambria" w:eastAsia="Times New Roman" w:hAnsi="Cambria"/>
      <w:b/>
      <w:bCs/>
      <w:sz w:val="24"/>
      <w:szCs w:val="24"/>
    </w:rPr>
  </w:style>
  <w:style w:type="paragraph" w:styleId="Nadpis3">
    <w:name w:val="heading 3"/>
    <w:basedOn w:val="Normln"/>
    <w:next w:val="Normln"/>
    <w:link w:val="Nadpis3Char"/>
    <w:uiPriority w:val="9"/>
    <w:unhideWhenUsed/>
    <w:qFormat/>
    <w:rsid w:val="000C577A"/>
    <w:pPr>
      <w:keepNext/>
      <w:keepLines/>
      <w:numPr>
        <w:ilvl w:val="2"/>
        <w:numId w:val="32"/>
      </w:numPr>
      <w:spacing w:before="200" w:after="0"/>
      <w:outlineLvl w:val="2"/>
    </w:pPr>
    <w:rPr>
      <w:rFonts w:ascii="Cambria" w:eastAsia="Times New Roman" w:hAnsi="Cambria"/>
      <w:b/>
      <w:bCs/>
    </w:rPr>
  </w:style>
  <w:style w:type="paragraph" w:styleId="Nadpis4">
    <w:name w:val="heading 4"/>
    <w:basedOn w:val="Normln"/>
    <w:next w:val="Normln"/>
    <w:link w:val="Nadpis4Char"/>
    <w:uiPriority w:val="9"/>
    <w:semiHidden/>
    <w:unhideWhenUsed/>
    <w:qFormat/>
    <w:rsid w:val="000C577A"/>
    <w:pPr>
      <w:keepNext/>
      <w:keepLines/>
      <w:numPr>
        <w:ilvl w:val="3"/>
        <w:numId w:val="32"/>
      </w:numPr>
      <w:spacing w:before="200" w:after="0"/>
      <w:outlineLvl w:val="3"/>
    </w:pPr>
    <w:rPr>
      <w:rFonts w:ascii="Cambria" w:eastAsia="Times New Roman" w:hAnsi="Cambria"/>
      <w:b/>
      <w:bCs/>
      <w:i/>
      <w:iCs/>
      <w:color w:val="4F81BD"/>
    </w:rPr>
  </w:style>
  <w:style w:type="paragraph" w:styleId="Nadpis5">
    <w:name w:val="heading 5"/>
    <w:basedOn w:val="Normln"/>
    <w:next w:val="Normln"/>
    <w:link w:val="Nadpis5Char"/>
    <w:uiPriority w:val="9"/>
    <w:semiHidden/>
    <w:unhideWhenUsed/>
    <w:qFormat/>
    <w:rsid w:val="000C577A"/>
    <w:pPr>
      <w:keepNext/>
      <w:keepLines/>
      <w:numPr>
        <w:ilvl w:val="4"/>
        <w:numId w:val="32"/>
      </w:numPr>
      <w:spacing w:before="200" w:after="0"/>
      <w:outlineLvl w:val="4"/>
    </w:pPr>
    <w:rPr>
      <w:rFonts w:ascii="Cambria" w:eastAsia="Times New Roman" w:hAnsi="Cambria"/>
      <w:color w:val="243F60"/>
    </w:rPr>
  </w:style>
  <w:style w:type="paragraph" w:styleId="Nadpis6">
    <w:name w:val="heading 6"/>
    <w:basedOn w:val="Normln"/>
    <w:next w:val="Normln"/>
    <w:link w:val="Nadpis6Char"/>
    <w:uiPriority w:val="9"/>
    <w:semiHidden/>
    <w:unhideWhenUsed/>
    <w:qFormat/>
    <w:rsid w:val="000C577A"/>
    <w:pPr>
      <w:keepNext/>
      <w:keepLines/>
      <w:numPr>
        <w:ilvl w:val="5"/>
        <w:numId w:val="32"/>
      </w:numPr>
      <w:spacing w:before="200" w:after="0"/>
      <w:outlineLvl w:val="5"/>
    </w:pPr>
    <w:rPr>
      <w:rFonts w:ascii="Cambria" w:eastAsia="Times New Roman" w:hAnsi="Cambria"/>
      <w:i/>
      <w:iCs/>
      <w:color w:val="243F60"/>
    </w:rPr>
  </w:style>
  <w:style w:type="paragraph" w:styleId="Nadpis7">
    <w:name w:val="heading 7"/>
    <w:basedOn w:val="Normln"/>
    <w:next w:val="Normln"/>
    <w:link w:val="Nadpis7Char"/>
    <w:uiPriority w:val="9"/>
    <w:semiHidden/>
    <w:unhideWhenUsed/>
    <w:qFormat/>
    <w:rsid w:val="000C577A"/>
    <w:pPr>
      <w:keepNext/>
      <w:keepLines/>
      <w:numPr>
        <w:ilvl w:val="6"/>
        <w:numId w:val="32"/>
      </w:numPr>
      <w:spacing w:before="200" w:after="0"/>
      <w:outlineLvl w:val="6"/>
    </w:pPr>
    <w:rPr>
      <w:rFonts w:ascii="Cambria" w:eastAsia="Times New Roman" w:hAnsi="Cambria"/>
      <w:i/>
      <w:iCs/>
      <w:color w:val="404040"/>
    </w:rPr>
  </w:style>
  <w:style w:type="paragraph" w:styleId="Nadpis8">
    <w:name w:val="heading 8"/>
    <w:basedOn w:val="Normln"/>
    <w:next w:val="Normln"/>
    <w:link w:val="Nadpis8Char"/>
    <w:uiPriority w:val="9"/>
    <w:semiHidden/>
    <w:unhideWhenUsed/>
    <w:qFormat/>
    <w:rsid w:val="000C577A"/>
    <w:pPr>
      <w:keepNext/>
      <w:keepLines/>
      <w:numPr>
        <w:ilvl w:val="7"/>
        <w:numId w:val="32"/>
      </w:numPr>
      <w:spacing w:before="200" w:after="0"/>
      <w:outlineLvl w:val="7"/>
    </w:pPr>
    <w:rPr>
      <w:rFonts w:ascii="Cambria" w:eastAsia="Times New Roman" w:hAnsi="Cambria"/>
      <w:color w:val="404040"/>
      <w:sz w:val="20"/>
      <w:szCs w:val="20"/>
    </w:rPr>
  </w:style>
  <w:style w:type="paragraph" w:styleId="Nadpis9">
    <w:name w:val="heading 9"/>
    <w:basedOn w:val="Normln"/>
    <w:next w:val="Normln"/>
    <w:link w:val="Nadpis9Char"/>
    <w:uiPriority w:val="9"/>
    <w:semiHidden/>
    <w:unhideWhenUsed/>
    <w:qFormat/>
    <w:rsid w:val="000C577A"/>
    <w:pPr>
      <w:keepNext/>
      <w:keepLines/>
      <w:numPr>
        <w:ilvl w:val="8"/>
        <w:numId w:val="32"/>
      </w:numPr>
      <w:spacing w:before="200" w:after="0"/>
      <w:outlineLvl w:val="8"/>
    </w:pPr>
    <w:rPr>
      <w:rFonts w:ascii="Cambria" w:eastAsia="Times New Roman" w:hAnsi="Cambria"/>
      <w:i/>
      <w:iCs/>
      <w:color w:val="404040"/>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uiPriority w:val="99"/>
    <w:semiHidden/>
    <w:unhideWhenUsed/>
    <w:rsid w:val="000C67F3"/>
    <w:rPr>
      <w:sz w:val="16"/>
      <w:szCs w:val="16"/>
    </w:rPr>
  </w:style>
  <w:style w:type="paragraph" w:styleId="Textkomente">
    <w:name w:val="annotation text"/>
    <w:basedOn w:val="Normln"/>
    <w:link w:val="TextkomenteChar"/>
    <w:uiPriority w:val="99"/>
    <w:semiHidden/>
    <w:unhideWhenUsed/>
    <w:rsid w:val="000C67F3"/>
    <w:rPr>
      <w:sz w:val="20"/>
      <w:szCs w:val="20"/>
    </w:rPr>
  </w:style>
  <w:style w:type="character" w:customStyle="1" w:styleId="TextkomenteChar">
    <w:name w:val="Text komentáře Char"/>
    <w:link w:val="Textkomente"/>
    <w:uiPriority w:val="99"/>
    <w:semiHidden/>
    <w:rsid w:val="000C67F3"/>
    <w:rPr>
      <w:lang w:eastAsia="en-US"/>
    </w:rPr>
  </w:style>
  <w:style w:type="paragraph" w:styleId="Pedmtkomente">
    <w:name w:val="annotation subject"/>
    <w:basedOn w:val="Textkomente"/>
    <w:next w:val="Textkomente"/>
    <w:link w:val="PedmtkomenteChar"/>
    <w:uiPriority w:val="99"/>
    <w:semiHidden/>
    <w:unhideWhenUsed/>
    <w:rsid w:val="000C67F3"/>
    <w:rPr>
      <w:b/>
      <w:bCs/>
    </w:rPr>
  </w:style>
  <w:style w:type="character" w:customStyle="1" w:styleId="PedmtkomenteChar">
    <w:name w:val="Předmět komentáře Char"/>
    <w:link w:val="Pedmtkomente"/>
    <w:uiPriority w:val="99"/>
    <w:semiHidden/>
    <w:rsid w:val="000C67F3"/>
    <w:rPr>
      <w:b/>
      <w:bCs/>
      <w:lang w:eastAsia="en-US"/>
    </w:rPr>
  </w:style>
  <w:style w:type="paragraph" w:styleId="Textbubliny">
    <w:name w:val="Balloon Text"/>
    <w:basedOn w:val="Normln"/>
    <w:link w:val="TextbublinyChar"/>
    <w:uiPriority w:val="99"/>
    <w:semiHidden/>
    <w:unhideWhenUsed/>
    <w:rsid w:val="000C67F3"/>
    <w:pPr>
      <w:spacing w:after="0" w:line="240" w:lineRule="auto"/>
    </w:pPr>
    <w:rPr>
      <w:rFonts w:ascii="Tahoma" w:hAnsi="Tahoma" w:cs="Tahoma"/>
      <w:sz w:val="16"/>
      <w:szCs w:val="16"/>
    </w:rPr>
  </w:style>
  <w:style w:type="character" w:customStyle="1" w:styleId="TextbublinyChar">
    <w:name w:val="Text bubliny Char"/>
    <w:link w:val="Textbubliny"/>
    <w:uiPriority w:val="99"/>
    <w:semiHidden/>
    <w:rsid w:val="000C67F3"/>
    <w:rPr>
      <w:rFonts w:ascii="Tahoma" w:hAnsi="Tahoma" w:cs="Tahoma"/>
      <w:sz w:val="16"/>
      <w:szCs w:val="16"/>
      <w:lang w:eastAsia="en-US"/>
    </w:rPr>
  </w:style>
  <w:style w:type="paragraph" w:styleId="Odstavecseseznamem">
    <w:name w:val="List Paragraph"/>
    <w:basedOn w:val="Normln"/>
    <w:uiPriority w:val="34"/>
    <w:qFormat/>
    <w:rsid w:val="007A7B7E"/>
    <w:pPr>
      <w:ind w:left="720"/>
      <w:contextualSpacing/>
    </w:pPr>
  </w:style>
  <w:style w:type="paragraph" w:styleId="Zhlav">
    <w:name w:val="header"/>
    <w:basedOn w:val="Normln"/>
    <w:link w:val="ZhlavChar"/>
    <w:uiPriority w:val="99"/>
    <w:unhideWhenUsed/>
    <w:rsid w:val="00E05A79"/>
    <w:pPr>
      <w:tabs>
        <w:tab w:val="center" w:pos="4536"/>
        <w:tab w:val="right" w:pos="9072"/>
      </w:tabs>
    </w:pPr>
  </w:style>
  <w:style w:type="character" w:customStyle="1" w:styleId="ZhlavChar">
    <w:name w:val="Záhlaví Char"/>
    <w:link w:val="Zhlav"/>
    <w:uiPriority w:val="99"/>
    <w:rsid w:val="00E05A79"/>
    <w:rPr>
      <w:sz w:val="22"/>
      <w:szCs w:val="22"/>
      <w:lang w:eastAsia="en-US"/>
    </w:rPr>
  </w:style>
  <w:style w:type="paragraph" w:styleId="Zpat">
    <w:name w:val="footer"/>
    <w:basedOn w:val="Normln"/>
    <w:link w:val="ZpatChar"/>
    <w:uiPriority w:val="99"/>
    <w:unhideWhenUsed/>
    <w:rsid w:val="00E05A79"/>
    <w:pPr>
      <w:tabs>
        <w:tab w:val="center" w:pos="4536"/>
        <w:tab w:val="right" w:pos="9072"/>
      </w:tabs>
    </w:pPr>
  </w:style>
  <w:style w:type="character" w:customStyle="1" w:styleId="ZpatChar">
    <w:name w:val="Zápatí Char"/>
    <w:link w:val="Zpat"/>
    <w:uiPriority w:val="99"/>
    <w:rsid w:val="00E05A79"/>
    <w:rPr>
      <w:sz w:val="22"/>
      <w:szCs w:val="22"/>
      <w:lang w:eastAsia="en-US"/>
    </w:rPr>
  </w:style>
  <w:style w:type="character" w:styleId="Hypertextovodkaz">
    <w:name w:val="Hyperlink"/>
    <w:uiPriority w:val="99"/>
    <w:unhideWhenUsed/>
    <w:rsid w:val="005367E0"/>
    <w:rPr>
      <w:color w:val="0000FF"/>
      <w:u w:val="single"/>
    </w:rPr>
  </w:style>
  <w:style w:type="table" w:styleId="Mkatabulky">
    <w:name w:val="Table Grid"/>
    <w:basedOn w:val="Normlntabulka"/>
    <w:uiPriority w:val="59"/>
    <w:rsid w:val="006C7E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lnweb">
    <w:name w:val="Normal (Web)"/>
    <w:basedOn w:val="Normln"/>
    <w:link w:val="NormlnwebChar"/>
    <w:uiPriority w:val="99"/>
    <w:rsid w:val="00A35381"/>
    <w:pPr>
      <w:tabs>
        <w:tab w:val="num" w:pos="360"/>
      </w:tabs>
      <w:spacing w:before="60" w:after="60" w:line="240" w:lineRule="auto"/>
      <w:jc w:val="both"/>
    </w:pPr>
    <w:rPr>
      <w:rFonts w:ascii="Arial" w:eastAsia="Times New Roman" w:hAnsi="Arial"/>
      <w:sz w:val="24"/>
      <w:szCs w:val="24"/>
      <w:lang w:val="x-none" w:eastAsia="cs-CZ"/>
    </w:rPr>
  </w:style>
  <w:style w:type="character" w:customStyle="1" w:styleId="NormlnwebChar">
    <w:name w:val="Normální (web) Char"/>
    <w:link w:val="Normlnweb"/>
    <w:uiPriority w:val="99"/>
    <w:locked/>
    <w:rsid w:val="00A35381"/>
    <w:rPr>
      <w:rFonts w:ascii="Arial" w:eastAsia="Times New Roman" w:hAnsi="Arial"/>
      <w:sz w:val="24"/>
      <w:szCs w:val="24"/>
      <w:lang w:val="x-none"/>
    </w:rPr>
  </w:style>
  <w:style w:type="paragraph" w:customStyle="1" w:styleId="Odstavecseseznamem1">
    <w:name w:val="Odstavec se seznamem1"/>
    <w:basedOn w:val="Normln"/>
    <w:rsid w:val="009246B2"/>
    <w:pPr>
      <w:suppressAutoHyphens/>
      <w:spacing w:after="160" w:line="252" w:lineRule="auto"/>
      <w:ind w:left="720"/>
    </w:pPr>
    <w:rPr>
      <w:rFonts w:eastAsia="SimSun" w:cs="Calibri"/>
      <w:kern w:val="1"/>
      <w:lang w:eastAsia="ar-SA"/>
    </w:rPr>
  </w:style>
  <w:style w:type="character" w:styleId="Znakapoznpodarou">
    <w:name w:val="footnote reference"/>
    <w:basedOn w:val="Standardnpsmoodstavce"/>
    <w:uiPriority w:val="99"/>
    <w:semiHidden/>
    <w:unhideWhenUsed/>
    <w:rsid w:val="00DA249E"/>
    <w:rPr>
      <w:vertAlign w:val="superscript"/>
    </w:rPr>
  </w:style>
  <w:style w:type="character" w:customStyle="1" w:styleId="Nadpis1Char">
    <w:name w:val="Nadpis 1 Char"/>
    <w:basedOn w:val="Standardnpsmoodstavce"/>
    <w:link w:val="Nadpis1"/>
    <w:uiPriority w:val="9"/>
    <w:rsid w:val="000C577A"/>
    <w:rPr>
      <w:rFonts w:ascii="Cambria" w:eastAsia="Times New Roman" w:hAnsi="Cambria"/>
      <w:b/>
      <w:bCs/>
      <w:sz w:val="28"/>
      <w:szCs w:val="28"/>
      <w:lang w:eastAsia="en-US"/>
    </w:rPr>
  </w:style>
  <w:style w:type="character" w:customStyle="1" w:styleId="Nadpis2Char">
    <w:name w:val="Nadpis 2 Char"/>
    <w:basedOn w:val="Standardnpsmoodstavce"/>
    <w:link w:val="Nadpis2"/>
    <w:uiPriority w:val="9"/>
    <w:rsid w:val="000C577A"/>
    <w:rPr>
      <w:rFonts w:ascii="Cambria" w:eastAsia="Times New Roman" w:hAnsi="Cambria"/>
      <w:b/>
      <w:bCs/>
      <w:sz w:val="24"/>
      <w:szCs w:val="24"/>
      <w:lang w:eastAsia="en-US"/>
    </w:rPr>
  </w:style>
  <w:style w:type="character" w:customStyle="1" w:styleId="Nadpis3Char">
    <w:name w:val="Nadpis 3 Char"/>
    <w:basedOn w:val="Standardnpsmoodstavce"/>
    <w:link w:val="Nadpis3"/>
    <w:uiPriority w:val="9"/>
    <w:rsid w:val="000C577A"/>
    <w:rPr>
      <w:rFonts w:ascii="Cambria" w:eastAsia="Times New Roman" w:hAnsi="Cambria"/>
      <w:b/>
      <w:bCs/>
      <w:sz w:val="22"/>
      <w:szCs w:val="22"/>
      <w:lang w:eastAsia="en-US"/>
    </w:rPr>
  </w:style>
  <w:style w:type="character" w:customStyle="1" w:styleId="Nadpis4Char">
    <w:name w:val="Nadpis 4 Char"/>
    <w:basedOn w:val="Standardnpsmoodstavce"/>
    <w:link w:val="Nadpis4"/>
    <w:uiPriority w:val="9"/>
    <w:semiHidden/>
    <w:rsid w:val="000C577A"/>
    <w:rPr>
      <w:rFonts w:ascii="Cambria" w:eastAsia="Times New Roman" w:hAnsi="Cambria"/>
      <w:b/>
      <w:bCs/>
      <w:i/>
      <w:iCs/>
      <w:color w:val="4F81BD"/>
      <w:sz w:val="22"/>
      <w:szCs w:val="22"/>
      <w:lang w:eastAsia="en-US"/>
    </w:rPr>
  </w:style>
  <w:style w:type="character" w:customStyle="1" w:styleId="Nadpis5Char">
    <w:name w:val="Nadpis 5 Char"/>
    <w:basedOn w:val="Standardnpsmoodstavce"/>
    <w:link w:val="Nadpis5"/>
    <w:uiPriority w:val="9"/>
    <w:semiHidden/>
    <w:rsid w:val="000C577A"/>
    <w:rPr>
      <w:rFonts w:ascii="Cambria" w:eastAsia="Times New Roman" w:hAnsi="Cambria"/>
      <w:color w:val="243F60"/>
      <w:sz w:val="22"/>
      <w:szCs w:val="22"/>
      <w:lang w:eastAsia="en-US"/>
    </w:rPr>
  </w:style>
  <w:style w:type="character" w:customStyle="1" w:styleId="Nadpis6Char">
    <w:name w:val="Nadpis 6 Char"/>
    <w:basedOn w:val="Standardnpsmoodstavce"/>
    <w:link w:val="Nadpis6"/>
    <w:uiPriority w:val="9"/>
    <w:semiHidden/>
    <w:rsid w:val="000C577A"/>
    <w:rPr>
      <w:rFonts w:ascii="Cambria" w:eastAsia="Times New Roman" w:hAnsi="Cambria"/>
      <w:i/>
      <w:iCs/>
      <w:color w:val="243F60"/>
      <w:sz w:val="22"/>
      <w:szCs w:val="22"/>
      <w:lang w:eastAsia="en-US"/>
    </w:rPr>
  </w:style>
  <w:style w:type="character" w:customStyle="1" w:styleId="Nadpis7Char">
    <w:name w:val="Nadpis 7 Char"/>
    <w:basedOn w:val="Standardnpsmoodstavce"/>
    <w:link w:val="Nadpis7"/>
    <w:uiPriority w:val="9"/>
    <w:semiHidden/>
    <w:rsid w:val="000C577A"/>
    <w:rPr>
      <w:rFonts w:ascii="Cambria" w:eastAsia="Times New Roman" w:hAnsi="Cambria"/>
      <w:i/>
      <w:iCs/>
      <w:color w:val="404040"/>
      <w:sz w:val="22"/>
      <w:szCs w:val="22"/>
      <w:lang w:eastAsia="en-US"/>
    </w:rPr>
  </w:style>
  <w:style w:type="character" w:customStyle="1" w:styleId="Nadpis8Char">
    <w:name w:val="Nadpis 8 Char"/>
    <w:basedOn w:val="Standardnpsmoodstavce"/>
    <w:link w:val="Nadpis8"/>
    <w:uiPriority w:val="9"/>
    <w:semiHidden/>
    <w:rsid w:val="000C577A"/>
    <w:rPr>
      <w:rFonts w:ascii="Cambria" w:eastAsia="Times New Roman" w:hAnsi="Cambria"/>
      <w:color w:val="404040"/>
      <w:lang w:eastAsia="en-US"/>
    </w:rPr>
  </w:style>
  <w:style w:type="character" w:customStyle="1" w:styleId="Nadpis9Char">
    <w:name w:val="Nadpis 9 Char"/>
    <w:basedOn w:val="Standardnpsmoodstavce"/>
    <w:link w:val="Nadpis9"/>
    <w:uiPriority w:val="9"/>
    <w:semiHidden/>
    <w:rsid w:val="000C577A"/>
    <w:rPr>
      <w:rFonts w:ascii="Cambria" w:eastAsia="Times New Roman" w:hAnsi="Cambria"/>
      <w:i/>
      <w:iCs/>
      <w:color w:val="404040"/>
      <w:lang w:eastAsia="en-US"/>
    </w:rPr>
  </w:style>
  <w:style w:type="paragraph" w:styleId="Zkladntext">
    <w:name w:val="Body Text"/>
    <w:basedOn w:val="Normln"/>
    <w:link w:val="ZkladntextChar"/>
    <w:rsid w:val="00F26FDC"/>
    <w:pPr>
      <w:widowControl w:val="0"/>
      <w:spacing w:after="0" w:line="240" w:lineRule="auto"/>
      <w:jc w:val="center"/>
    </w:pPr>
    <w:rPr>
      <w:rFonts w:ascii="Arial" w:eastAsia="Times New Roman" w:hAnsi="Arial"/>
      <w:b/>
      <w:snapToGrid w:val="0"/>
      <w:kern w:val="28"/>
      <w:sz w:val="24"/>
      <w:szCs w:val="20"/>
      <w:lang w:val="en-US" w:eastAsia="cs-CZ"/>
    </w:rPr>
  </w:style>
  <w:style w:type="character" w:customStyle="1" w:styleId="ZkladntextChar">
    <w:name w:val="Základní text Char"/>
    <w:basedOn w:val="Standardnpsmoodstavce"/>
    <w:link w:val="Zkladntext"/>
    <w:rsid w:val="00F26FDC"/>
    <w:rPr>
      <w:rFonts w:ascii="Arial" w:eastAsia="Times New Roman" w:hAnsi="Arial"/>
      <w:b/>
      <w:snapToGrid w:val="0"/>
      <w:kern w:val="28"/>
      <w:sz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pPr>
      <w:spacing w:after="200" w:line="276" w:lineRule="auto"/>
    </w:pPr>
    <w:rPr>
      <w:sz w:val="22"/>
      <w:szCs w:val="22"/>
      <w:lang w:eastAsia="en-US"/>
    </w:rPr>
  </w:style>
  <w:style w:type="paragraph" w:styleId="Nadpis1">
    <w:name w:val="heading 1"/>
    <w:basedOn w:val="Normln"/>
    <w:next w:val="Normln"/>
    <w:link w:val="Nadpis1Char"/>
    <w:uiPriority w:val="9"/>
    <w:qFormat/>
    <w:rsid w:val="000C577A"/>
    <w:pPr>
      <w:keepNext/>
      <w:keepLines/>
      <w:pageBreakBefore/>
      <w:numPr>
        <w:numId w:val="32"/>
      </w:numPr>
      <w:spacing w:before="480" w:after="480"/>
      <w:outlineLvl w:val="0"/>
    </w:pPr>
    <w:rPr>
      <w:rFonts w:ascii="Cambria" w:eastAsia="Times New Roman" w:hAnsi="Cambria"/>
      <w:b/>
      <w:bCs/>
      <w:sz w:val="28"/>
      <w:szCs w:val="28"/>
    </w:rPr>
  </w:style>
  <w:style w:type="paragraph" w:styleId="Nadpis2">
    <w:name w:val="heading 2"/>
    <w:basedOn w:val="Normln"/>
    <w:next w:val="Normln"/>
    <w:link w:val="Nadpis2Char"/>
    <w:uiPriority w:val="9"/>
    <w:unhideWhenUsed/>
    <w:qFormat/>
    <w:rsid w:val="000C577A"/>
    <w:pPr>
      <w:keepNext/>
      <w:keepLines/>
      <w:numPr>
        <w:ilvl w:val="1"/>
        <w:numId w:val="32"/>
      </w:numPr>
      <w:spacing w:before="200"/>
      <w:outlineLvl w:val="1"/>
    </w:pPr>
    <w:rPr>
      <w:rFonts w:ascii="Cambria" w:eastAsia="Times New Roman" w:hAnsi="Cambria"/>
      <w:b/>
      <w:bCs/>
      <w:sz w:val="24"/>
      <w:szCs w:val="24"/>
    </w:rPr>
  </w:style>
  <w:style w:type="paragraph" w:styleId="Nadpis3">
    <w:name w:val="heading 3"/>
    <w:basedOn w:val="Normln"/>
    <w:next w:val="Normln"/>
    <w:link w:val="Nadpis3Char"/>
    <w:uiPriority w:val="9"/>
    <w:unhideWhenUsed/>
    <w:qFormat/>
    <w:rsid w:val="000C577A"/>
    <w:pPr>
      <w:keepNext/>
      <w:keepLines/>
      <w:numPr>
        <w:ilvl w:val="2"/>
        <w:numId w:val="32"/>
      </w:numPr>
      <w:spacing w:before="200" w:after="0"/>
      <w:outlineLvl w:val="2"/>
    </w:pPr>
    <w:rPr>
      <w:rFonts w:ascii="Cambria" w:eastAsia="Times New Roman" w:hAnsi="Cambria"/>
      <w:b/>
      <w:bCs/>
    </w:rPr>
  </w:style>
  <w:style w:type="paragraph" w:styleId="Nadpis4">
    <w:name w:val="heading 4"/>
    <w:basedOn w:val="Normln"/>
    <w:next w:val="Normln"/>
    <w:link w:val="Nadpis4Char"/>
    <w:uiPriority w:val="9"/>
    <w:semiHidden/>
    <w:unhideWhenUsed/>
    <w:qFormat/>
    <w:rsid w:val="000C577A"/>
    <w:pPr>
      <w:keepNext/>
      <w:keepLines/>
      <w:numPr>
        <w:ilvl w:val="3"/>
        <w:numId w:val="32"/>
      </w:numPr>
      <w:spacing w:before="200" w:after="0"/>
      <w:outlineLvl w:val="3"/>
    </w:pPr>
    <w:rPr>
      <w:rFonts w:ascii="Cambria" w:eastAsia="Times New Roman" w:hAnsi="Cambria"/>
      <w:b/>
      <w:bCs/>
      <w:i/>
      <w:iCs/>
      <w:color w:val="4F81BD"/>
    </w:rPr>
  </w:style>
  <w:style w:type="paragraph" w:styleId="Nadpis5">
    <w:name w:val="heading 5"/>
    <w:basedOn w:val="Normln"/>
    <w:next w:val="Normln"/>
    <w:link w:val="Nadpis5Char"/>
    <w:uiPriority w:val="9"/>
    <w:semiHidden/>
    <w:unhideWhenUsed/>
    <w:qFormat/>
    <w:rsid w:val="000C577A"/>
    <w:pPr>
      <w:keepNext/>
      <w:keepLines/>
      <w:numPr>
        <w:ilvl w:val="4"/>
        <w:numId w:val="32"/>
      </w:numPr>
      <w:spacing w:before="200" w:after="0"/>
      <w:outlineLvl w:val="4"/>
    </w:pPr>
    <w:rPr>
      <w:rFonts w:ascii="Cambria" w:eastAsia="Times New Roman" w:hAnsi="Cambria"/>
      <w:color w:val="243F60"/>
    </w:rPr>
  </w:style>
  <w:style w:type="paragraph" w:styleId="Nadpis6">
    <w:name w:val="heading 6"/>
    <w:basedOn w:val="Normln"/>
    <w:next w:val="Normln"/>
    <w:link w:val="Nadpis6Char"/>
    <w:uiPriority w:val="9"/>
    <w:semiHidden/>
    <w:unhideWhenUsed/>
    <w:qFormat/>
    <w:rsid w:val="000C577A"/>
    <w:pPr>
      <w:keepNext/>
      <w:keepLines/>
      <w:numPr>
        <w:ilvl w:val="5"/>
        <w:numId w:val="32"/>
      </w:numPr>
      <w:spacing w:before="200" w:after="0"/>
      <w:outlineLvl w:val="5"/>
    </w:pPr>
    <w:rPr>
      <w:rFonts w:ascii="Cambria" w:eastAsia="Times New Roman" w:hAnsi="Cambria"/>
      <w:i/>
      <w:iCs/>
      <w:color w:val="243F60"/>
    </w:rPr>
  </w:style>
  <w:style w:type="paragraph" w:styleId="Nadpis7">
    <w:name w:val="heading 7"/>
    <w:basedOn w:val="Normln"/>
    <w:next w:val="Normln"/>
    <w:link w:val="Nadpis7Char"/>
    <w:uiPriority w:val="9"/>
    <w:semiHidden/>
    <w:unhideWhenUsed/>
    <w:qFormat/>
    <w:rsid w:val="000C577A"/>
    <w:pPr>
      <w:keepNext/>
      <w:keepLines/>
      <w:numPr>
        <w:ilvl w:val="6"/>
        <w:numId w:val="32"/>
      </w:numPr>
      <w:spacing w:before="200" w:after="0"/>
      <w:outlineLvl w:val="6"/>
    </w:pPr>
    <w:rPr>
      <w:rFonts w:ascii="Cambria" w:eastAsia="Times New Roman" w:hAnsi="Cambria"/>
      <w:i/>
      <w:iCs/>
      <w:color w:val="404040"/>
    </w:rPr>
  </w:style>
  <w:style w:type="paragraph" w:styleId="Nadpis8">
    <w:name w:val="heading 8"/>
    <w:basedOn w:val="Normln"/>
    <w:next w:val="Normln"/>
    <w:link w:val="Nadpis8Char"/>
    <w:uiPriority w:val="9"/>
    <w:semiHidden/>
    <w:unhideWhenUsed/>
    <w:qFormat/>
    <w:rsid w:val="000C577A"/>
    <w:pPr>
      <w:keepNext/>
      <w:keepLines/>
      <w:numPr>
        <w:ilvl w:val="7"/>
        <w:numId w:val="32"/>
      </w:numPr>
      <w:spacing w:before="200" w:after="0"/>
      <w:outlineLvl w:val="7"/>
    </w:pPr>
    <w:rPr>
      <w:rFonts w:ascii="Cambria" w:eastAsia="Times New Roman" w:hAnsi="Cambria"/>
      <w:color w:val="404040"/>
      <w:sz w:val="20"/>
      <w:szCs w:val="20"/>
    </w:rPr>
  </w:style>
  <w:style w:type="paragraph" w:styleId="Nadpis9">
    <w:name w:val="heading 9"/>
    <w:basedOn w:val="Normln"/>
    <w:next w:val="Normln"/>
    <w:link w:val="Nadpis9Char"/>
    <w:uiPriority w:val="9"/>
    <w:semiHidden/>
    <w:unhideWhenUsed/>
    <w:qFormat/>
    <w:rsid w:val="000C577A"/>
    <w:pPr>
      <w:keepNext/>
      <w:keepLines/>
      <w:numPr>
        <w:ilvl w:val="8"/>
        <w:numId w:val="32"/>
      </w:numPr>
      <w:spacing w:before="200" w:after="0"/>
      <w:outlineLvl w:val="8"/>
    </w:pPr>
    <w:rPr>
      <w:rFonts w:ascii="Cambria" w:eastAsia="Times New Roman" w:hAnsi="Cambria"/>
      <w:i/>
      <w:iCs/>
      <w:color w:val="404040"/>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uiPriority w:val="99"/>
    <w:semiHidden/>
    <w:unhideWhenUsed/>
    <w:rsid w:val="000C67F3"/>
    <w:rPr>
      <w:sz w:val="16"/>
      <w:szCs w:val="16"/>
    </w:rPr>
  </w:style>
  <w:style w:type="paragraph" w:styleId="Textkomente">
    <w:name w:val="annotation text"/>
    <w:basedOn w:val="Normln"/>
    <w:link w:val="TextkomenteChar"/>
    <w:uiPriority w:val="99"/>
    <w:semiHidden/>
    <w:unhideWhenUsed/>
    <w:rsid w:val="000C67F3"/>
    <w:rPr>
      <w:sz w:val="20"/>
      <w:szCs w:val="20"/>
    </w:rPr>
  </w:style>
  <w:style w:type="character" w:customStyle="1" w:styleId="TextkomenteChar">
    <w:name w:val="Text komentáře Char"/>
    <w:link w:val="Textkomente"/>
    <w:uiPriority w:val="99"/>
    <w:semiHidden/>
    <w:rsid w:val="000C67F3"/>
    <w:rPr>
      <w:lang w:eastAsia="en-US"/>
    </w:rPr>
  </w:style>
  <w:style w:type="paragraph" w:styleId="Pedmtkomente">
    <w:name w:val="annotation subject"/>
    <w:basedOn w:val="Textkomente"/>
    <w:next w:val="Textkomente"/>
    <w:link w:val="PedmtkomenteChar"/>
    <w:uiPriority w:val="99"/>
    <w:semiHidden/>
    <w:unhideWhenUsed/>
    <w:rsid w:val="000C67F3"/>
    <w:rPr>
      <w:b/>
      <w:bCs/>
    </w:rPr>
  </w:style>
  <w:style w:type="character" w:customStyle="1" w:styleId="PedmtkomenteChar">
    <w:name w:val="Předmět komentáře Char"/>
    <w:link w:val="Pedmtkomente"/>
    <w:uiPriority w:val="99"/>
    <w:semiHidden/>
    <w:rsid w:val="000C67F3"/>
    <w:rPr>
      <w:b/>
      <w:bCs/>
      <w:lang w:eastAsia="en-US"/>
    </w:rPr>
  </w:style>
  <w:style w:type="paragraph" w:styleId="Textbubliny">
    <w:name w:val="Balloon Text"/>
    <w:basedOn w:val="Normln"/>
    <w:link w:val="TextbublinyChar"/>
    <w:uiPriority w:val="99"/>
    <w:semiHidden/>
    <w:unhideWhenUsed/>
    <w:rsid w:val="000C67F3"/>
    <w:pPr>
      <w:spacing w:after="0" w:line="240" w:lineRule="auto"/>
    </w:pPr>
    <w:rPr>
      <w:rFonts w:ascii="Tahoma" w:hAnsi="Tahoma" w:cs="Tahoma"/>
      <w:sz w:val="16"/>
      <w:szCs w:val="16"/>
    </w:rPr>
  </w:style>
  <w:style w:type="character" w:customStyle="1" w:styleId="TextbublinyChar">
    <w:name w:val="Text bubliny Char"/>
    <w:link w:val="Textbubliny"/>
    <w:uiPriority w:val="99"/>
    <w:semiHidden/>
    <w:rsid w:val="000C67F3"/>
    <w:rPr>
      <w:rFonts w:ascii="Tahoma" w:hAnsi="Tahoma" w:cs="Tahoma"/>
      <w:sz w:val="16"/>
      <w:szCs w:val="16"/>
      <w:lang w:eastAsia="en-US"/>
    </w:rPr>
  </w:style>
  <w:style w:type="paragraph" w:styleId="Odstavecseseznamem">
    <w:name w:val="List Paragraph"/>
    <w:basedOn w:val="Normln"/>
    <w:uiPriority w:val="34"/>
    <w:qFormat/>
    <w:rsid w:val="007A7B7E"/>
    <w:pPr>
      <w:ind w:left="720"/>
      <w:contextualSpacing/>
    </w:pPr>
  </w:style>
  <w:style w:type="paragraph" w:styleId="Zhlav">
    <w:name w:val="header"/>
    <w:basedOn w:val="Normln"/>
    <w:link w:val="ZhlavChar"/>
    <w:uiPriority w:val="99"/>
    <w:unhideWhenUsed/>
    <w:rsid w:val="00E05A79"/>
    <w:pPr>
      <w:tabs>
        <w:tab w:val="center" w:pos="4536"/>
        <w:tab w:val="right" w:pos="9072"/>
      </w:tabs>
    </w:pPr>
  </w:style>
  <w:style w:type="character" w:customStyle="1" w:styleId="ZhlavChar">
    <w:name w:val="Záhlaví Char"/>
    <w:link w:val="Zhlav"/>
    <w:uiPriority w:val="99"/>
    <w:rsid w:val="00E05A79"/>
    <w:rPr>
      <w:sz w:val="22"/>
      <w:szCs w:val="22"/>
      <w:lang w:eastAsia="en-US"/>
    </w:rPr>
  </w:style>
  <w:style w:type="paragraph" w:styleId="Zpat">
    <w:name w:val="footer"/>
    <w:basedOn w:val="Normln"/>
    <w:link w:val="ZpatChar"/>
    <w:uiPriority w:val="99"/>
    <w:unhideWhenUsed/>
    <w:rsid w:val="00E05A79"/>
    <w:pPr>
      <w:tabs>
        <w:tab w:val="center" w:pos="4536"/>
        <w:tab w:val="right" w:pos="9072"/>
      </w:tabs>
    </w:pPr>
  </w:style>
  <w:style w:type="character" w:customStyle="1" w:styleId="ZpatChar">
    <w:name w:val="Zápatí Char"/>
    <w:link w:val="Zpat"/>
    <w:uiPriority w:val="99"/>
    <w:rsid w:val="00E05A79"/>
    <w:rPr>
      <w:sz w:val="22"/>
      <w:szCs w:val="22"/>
      <w:lang w:eastAsia="en-US"/>
    </w:rPr>
  </w:style>
  <w:style w:type="character" w:styleId="Hypertextovodkaz">
    <w:name w:val="Hyperlink"/>
    <w:uiPriority w:val="99"/>
    <w:unhideWhenUsed/>
    <w:rsid w:val="005367E0"/>
    <w:rPr>
      <w:color w:val="0000FF"/>
      <w:u w:val="single"/>
    </w:rPr>
  </w:style>
  <w:style w:type="table" w:styleId="Mkatabulky">
    <w:name w:val="Table Grid"/>
    <w:basedOn w:val="Normlntabulka"/>
    <w:uiPriority w:val="59"/>
    <w:rsid w:val="006C7E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lnweb">
    <w:name w:val="Normal (Web)"/>
    <w:basedOn w:val="Normln"/>
    <w:link w:val="NormlnwebChar"/>
    <w:uiPriority w:val="99"/>
    <w:rsid w:val="00A35381"/>
    <w:pPr>
      <w:tabs>
        <w:tab w:val="num" w:pos="360"/>
      </w:tabs>
      <w:spacing w:before="60" w:after="60" w:line="240" w:lineRule="auto"/>
      <w:jc w:val="both"/>
    </w:pPr>
    <w:rPr>
      <w:rFonts w:ascii="Arial" w:eastAsia="Times New Roman" w:hAnsi="Arial"/>
      <w:sz w:val="24"/>
      <w:szCs w:val="24"/>
      <w:lang w:val="x-none" w:eastAsia="cs-CZ"/>
    </w:rPr>
  </w:style>
  <w:style w:type="character" w:customStyle="1" w:styleId="NormlnwebChar">
    <w:name w:val="Normální (web) Char"/>
    <w:link w:val="Normlnweb"/>
    <w:uiPriority w:val="99"/>
    <w:locked/>
    <w:rsid w:val="00A35381"/>
    <w:rPr>
      <w:rFonts w:ascii="Arial" w:eastAsia="Times New Roman" w:hAnsi="Arial"/>
      <w:sz w:val="24"/>
      <w:szCs w:val="24"/>
      <w:lang w:val="x-none"/>
    </w:rPr>
  </w:style>
  <w:style w:type="paragraph" w:customStyle="1" w:styleId="Odstavecseseznamem1">
    <w:name w:val="Odstavec se seznamem1"/>
    <w:basedOn w:val="Normln"/>
    <w:rsid w:val="009246B2"/>
    <w:pPr>
      <w:suppressAutoHyphens/>
      <w:spacing w:after="160" w:line="252" w:lineRule="auto"/>
      <w:ind w:left="720"/>
    </w:pPr>
    <w:rPr>
      <w:rFonts w:eastAsia="SimSun" w:cs="Calibri"/>
      <w:kern w:val="1"/>
      <w:lang w:eastAsia="ar-SA"/>
    </w:rPr>
  </w:style>
  <w:style w:type="character" w:styleId="Znakapoznpodarou">
    <w:name w:val="footnote reference"/>
    <w:basedOn w:val="Standardnpsmoodstavce"/>
    <w:uiPriority w:val="99"/>
    <w:semiHidden/>
    <w:unhideWhenUsed/>
    <w:rsid w:val="00DA249E"/>
    <w:rPr>
      <w:vertAlign w:val="superscript"/>
    </w:rPr>
  </w:style>
  <w:style w:type="character" w:customStyle="1" w:styleId="Nadpis1Char">
    <w:name w:val="Nadpis 1 Char"/>
    <w:basedOn w:val="Standardnpsmoodstavce"/>
    <w:link w:val="Nadpis1"/>
    <w:uiPriority w:val="9"/>
    <w:rsid w:val="000C577A"/>
    <w:rPr>
      <w:rFonts w:ascii="Cambria" w:eastAsia="Times New Roman" w:hAnsi="Cambria"/>
      <w:b/>
      <w:bCs/>
      <w:sz w:val="28"/>
      <w:szCs w:val="28"/>
      <w:lang w:eastAsia="en-US"/>
    </w:rPr>
  </w:style>
  <w:style w:type="character" w:customStyle="1" w:styleId="Nadpis2Char">
    <w:name w:val="Nadpis 2 Char"/>
    <w:basedOn w:val="Standardnpsmoodstavce"/>
    <w:link w:val="Nadpis2"/>
    <w:uiPriority w:val="9"/>
    <w:rsid w:val="000C577A"/>
    <w:rPr>
      <w:rFonts w:ascii="Cambria" w:eastAsia="Times New Roman" w:hAnsi="Cambria"/>
      <w:b/>
      <w:bCs/>
      <w:sz w:val="24"/>
      <w:szCs w:val="24"/>
      <w:lang w:eastAsia="en-US"/>
    </w:rPr>
  </w:style>
  <w:style w:type="character" w:customStyle="1" w:styleId="Nadpis3Char">
    <w:name w:val="Nadpis 3 Char"/>
    <w:basedOn w:val="Standardnpsmoodstavce"/>
    <w:link w:val="Nadpis3"/>
    <w:uiPriority w:val="9"/>
    <w:rsid w:val="000C577A"/>
    <w:rPr>
      <w:rFonts w:ascii="Cambria" w:eastAsia="Times New Roman" w:hAnsi="Cambria"/>
      <w:b/>
      <w:bCs/>
      <w:sz w:val="22"/>
      <w:szCs w:val="22"/>
      <w:lang w:eastAsia="en-US"/>
    </w:rPr>
  </w:style>
  <w:style w:type="character" w:customStyle="1" w:styleId="Nadpis4Char">
    <w:name w:val="Nadpis 4 Char"/>
    <w:basedOn w:val="Standardnpsmoodstavce"/>
    <w:link w:val="Nadpis4"/>
    <w:uiPriority w:val="9"/>
    <w:semiHidden/>
    <w:rsid w:val="000C577A"/>
    <w:rPr>
      <w:rFonts w:ascii="Cambria" w:eastAsia="Times New Roman" w:hAnsi="Cambria"/>
      <w:b/>
      <w:bCs/>
      <w:i/>
      <w:iCs/>
      <w:color w:val="4F81BD"/>
      <w:sz w:val="22"/>
      <w:szCs w:val="22"/>
      <w:lang w:eastAsia="en-US"/>
    </w:rPr>
  </w:style>
  <w:style w:type="character" w:customStyle="1" w:styleId="Nadpis5Char">
    <w:name w:val="Nadpis 5 Char"/>
    <w:basedOn w:val="Standardnpsmoodstavce"/>
    <w:link w:val="Nadpis5"/>
    <w:uiPriority w:val="9"/>
    <w:semiHidden/>
    <w:rsid w:val="000C577A"/>
    <w:rPr>
      <w:rFonts w:ascii="Cambria" w:eastAsia="Times New Roman" w:hAnsi="Cambria"/>
      <w:color w:val="243F60"/>
      <w:sz w:val="22"/>
      <w:szCs w:val="22"/>
      <w:lang w:eastAsia="en-US"/>
    </w:rPr>
  </w:style>
  <w:style w:type="character" w:customStyle="1" w:styleId="Nadpis6Char">
    <w:name w:val="Nadpis 6 Char"/>
    <w:basedOn w:val="Standardnpsmoodstavce"/>
    <w:link w:val="Nadpis6"/>
    <w:uiPriority w:val="9"/>
    <w:semiHidden/>
    <w:rsid w:val="000C577A"/>
    <w:rPr>
      <w:rFonts w:ascii="Cambria" w:eastAsia="Times New Roman" w:hAnsi="Cambria"/>
      <w:i/>
      <w:iCs/>
      <w:color w:val="243F60"/>
      <w:sz w:val="22"/>
      <w:szCs w:val="22"/>
      <w:lang w:eastAsia="en-US"/>
    </w:rPr>
  </w:style>
  <w:style w:type="character" w:customStyle="1" w:styleId="Nadpis7Char">
    <w:name w:val="Nadpis 7 Char"/>
    <w:basedOn w:val="Standardnpsmoodstavce"/>
    <w:link w:val="Nadpis7"/>
    <w:uiPriority w:val="9"/>
    <w:semiHidden/>
    <w:rsid w:val="000C577A"/>
    <w:rPr>
      <w:rFonts w:ascii="Cambria" w:eastAsia="Times New Roman" w:hAnsi="Cambria"/>
      <w:i/>
      <w:iCs/>
      <w:color w:val="404040"/>
      <w:sz w:val="22"/>
      <w:szCs w:val="22"/>
      <w:lang w:eastAsia="en-US"/>
    </w:rPr>
  </w:style>
  <w:style w:type="character" w:customStyle="1" w:styleId="Nadpis8Char">
    <w:name w:val="Nadpis 8 Char"/>
    <w:basedOn w:val="Standardnpsmoodstavce"/>
    <w:link w:val="Nadpis8"/>
    <w:uiPriority w:val="9"/>
    <w:semiHidden/>
    <w:rsid w:val="000C577A"/>
    <w:rPr>
      <w:rFonts w:ascii="Cambria" w:eastAsia="Times New Roman" w:hAnsi="Cambria"/>
      <w:color w:val="404040"/>
      <w:lang w:eastAsia="en-US"/>
    </w:rPr>
  </w:style>
  <w:style w:type="character" w:customStyle="1" w:styleId="Nadpis9Char">
    <w:name w:val="Nadpis 9 Char"/>
    <w:basedOn w:val="Standardnpsmoodstavce"/>
    <w:link w:val="Nadpis9"/>
    <w:uiPriority w:val="9"/>
    <w:semiHidden/>
    <w:rsid w:val="000C577A"/>
    <w:rPr>
      <w:rFonts w:ascii="Cambria" w:eastAsia="Times New Roman" w:hAnsi="Cambria"/>
      <w:i/>
      <w:iCs/>
      <w:color w:val="404040"/>
      <w:lang w:eastAsia="en-US"/>
    </w:rPr>
  </w:style>
  <w:style w:type="paragraph" w:styleId="Zkladntext">
    <w:name w:val="Body Text"/>
    <w:basedOn w:val="Normln"/>
    <w:link w:val="ZkladntextChar"/>
    <w:rsid w:val="00F26FDC"/>
    <w:pPr>
      <w:widowControl w:val="0"/>
      <w:spacing w:after="0" w:line="240" w:lineRule="auto"/>
      <w:jc w:val="center"/>
    </w:pPr>
    <w:rPr>
      <w:rFonts w:ascii="Arial" w:eastAsia="Times New Roman" w:hAnsi="Arial"/>
      <w:b/>
      <w:snapToGrid w:val="0"/>
      <w:kern w:val="28"/>
      <w:sz w:val="24"/>
      <w:szCs w:val="20"/>
      <w:lang w:val="en-US" w:eastAsia="cs-CZ"/>
    </w:rPr>
  </w:style>
  <w:style w:type="character" w:customStyle="1" w:styleId="ZkladntextChar">
    <w:name w:val="Základní text Char"/>
    <w:basedOn w:val="Standardnpsmoodstavce"/>
    <w:link w:val="Zkladntext"/>
    <w:rsid w:val="00F26FDC"/>
    <w:rPr>
      <w:rFonts w:ascii="Arial" w:eastAsia="Times New Roman" w:hAnsi="Arial"/>
      <w:b/>
      <w:snapToGrid w:val="0"/>
      <w:kern w:val="28"/>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828823">
      <w:bodyDiv w:val="1"/>
      <w:marLeft w:val="0"/>
      <w:marRight w:val="0"/>
      <w:marTop w:val="0"/>
      <w:marBottom w:val="0"/>
      <w:divBdr>
        <w:top w:val="none" w:sz="0" w:space="0" w:color="auto"/>
        <w:left w:val="none" w:sz="0" w:space="0" w:color="auto"/>
        <w:bottom w:val="none" w:sz="0" w:space="0" w:color="auto"/>
        <w:right w:val="none" w:sz="0" w:space="0" w:color="auto"/>
      </w:divBdr>
    </w:div>
    <w:div w:id="243146343">
      <w:bodyDiv w:val="1"/>
      <w:marLeft w:val="0"/>
      <w:marRight w:val="0"/>
      <w:marTop w:val="0"/>
      <w:marBottom w:val="0"/>
      <w:divBdr>
        <w:top w:val="none" w:sz="0" w:space="0" w:color="auto"/>
        <w:left w:val="none" w:sz="0" w:space="0" w:color="auto"/>
        <w:bottom w:val="none" w:sz="0" w:space="0" w:color="auto"/>
        <w:right w:val="none" w:sz="0" w:space="0" w:color="auto"/>
      </w:divBdr>
      <w:divsChild>
        <w:div w:id="1061177903">
          <w:marLeft w:val="547"/>
          <w:marRight w:val="0"/>
          <w:marTop w:val="86"/>
          <w:marBottom w:val="0"/>
          <w:divBdr>
            <w:top w:val="none" w:sz="0" w:space="0" w:color="auto"/>
            <w:left w:val="none" w:sz="0" w:space="0" w:color="auto"/>
            <w:bottom w:val="none" w:sz="0" w:space="0" w:color="auto"/>
            <w:right w:val="none" w:sz="0" w:space="0" w:color="auto"/>
          </w:divBdr>
        </w:div>
      </w:divsChild>
    </w:div>
    <w:div w:id="535580337">
      <w:bodyDiv w:val="1"/>
      <w:marLeft w:val="0"/>
      <w:marRight w:val="0"/>
      <w:marTop w:val="0"/>
      <w:marBottom w:val="0"/>
      <w:divBdr>
        <w:top w:val="none" w:sz="0" w:space="0" w:color="auto"/>
        <w:left w:val="none" w:sz="0" w:space="0" w:color="auto"/>
        <w:bottom w:val="none" w:sz="0" w:space="0" w:color="auto"/>
        <w:right w:val="none" w:sz="0" w:space="0" w:color="auto"/>
      </w:divBdr>
      <w:divsChild>
        <w:div w:id="81492050">
          <w:marLeft w:val="1166"/>
          <w:marRight w:val="0"/>
          <w:marTop w:val="67"/>
          <w:marBottom w:val="0"/>
          <w:divBdr>
            <w:top w:val="none" w:sz="0" w:space="0" w:color="auto"/>
            <w:left w:val="none" w:sz="0" w:space="0" w:color="auto"/>
            <w:bottom w:val="none" w:sz="0" w:space="0" w:color="auto"/>
            <w:right w:val="none" w:sz="0" w:space="0" w:color="auto"/>
          </w:divBdr>
        </w:div>
        <w:div w:id="1232542231">
          <w:marLeft w:val="1166"/>
          <w:marRight w:val="0"/>
          <w:marTop w:val="67"/>
          <w:marBottom w:val="0"/>
          <w:divBdr>
            <w:top w:val="none" w:sz="0" w:space="0" w:color="auto"/>
            <w:left w:val="none" w:sz="0" w:space="0" w:color="auto"/>
            <w:bottom w:val="none" w:sz="0" w:space="0" w:color="auto"/>
            <w:right w:val="none" w:sz="0" w:space="0" w:color="auto"/>
          </w:divBdr>
        </w:div>
      </w:divsChild>
    </w:div>
    <w:div w:id="544029930">
      <w:bodyDiv w:val="1"/>
      <w:marLeft w:val="0"/>
      <w:marRight w:val="0"/>
      <w:marTop w:val="0"/>
      <w:marBottom w:val="0"/>
      <w:divBdr>
        <w:top w:val="none" w:sz="0" w:space="0" w:color="auto"/>
        <w:left w:val="none" w:sz="0" w:space="0" w:color="auto"/>
        <w:bottom w:val="none" w:sz="0" w:space="0" w:color="auto"/>
        <w:right w:val="none" w:sz="0" w:space="0" w:color="auto"/>
      </w:divBdr>
    </w:div>
    <w:div w:id="903636474">
      <w:bodyDiv w:val="1"/>
      <w:marLeft w:val="0"/>
      <w:marRight w:val="0"/>
      <w:marTop w:val="0"/>
      <w:marBottom w:val="0"/>
      <w:divBdr>
        <w:top w:val="none" w:sz="0" w:space="0" w:color="auto"/>
        <w:left w:val="none" w:sz="0" w:space="0" w:color="auto"/>
        <w:bottom w:val="none" w:sz="0" w:space="0" w:color="auto"/>
        <w:right w:val="none" w:sz="0" w:space="0" w:color="auto"/>
      </w:divBdr>
    </w:div>
    <w:div w:id="974720251">
      <w:bodyDiv w:val="1"/>
      <w:marLeft w:val="0"/>
      <w:marRight w:val="0"/>
      <w:marTop w:val="0"/>
      <w:marBottom w:val="0"/>
      <w:divBdr>
        <w:top w:val="none" w:sz="0" w:space="0" w:color="auto"/>
        <w:left w:val="none" w:sz="0" w:space="0" w:color="auto"/>
        <w:bottom w:val="none" w:sz="0" w:space="0" w:color="auto"/>
        <w:right w:val="none" w:sz="0" w:space="0" w:color="auto"/>
      </w:divBdr>
      <w:divsChild>
        <w:div w:id="343437218">
          <w:marLeft w:val="1166"/>
          <w:marRight w:val="0"/>
          <w:marTop w:val="67"/>
          <w:marBottom w:val="0"/>
          <w:divBdr>
            <w:top w:val="none" w:sz="0" w:space="0" w:color="auto"/>
            <w:left w:val="none" w:sz="0" w:space="0" w:color="auto"/>
            <w:bottom w:val="none" w:sz="0" w:space="0" w:color="auto"/>
            <w:right w:val="none" w:sz="0" w:space="0" w:color="auto"/>
          </w:divBdr>
        </w:div>
        <w:div w:id="546113407">
          <w:marLeft w:val="1166"/>
          <w:marRight w:val="0"/>
          <w:marTop w:val="67"/>
          <w:marBottom w:val="0"/>
          <w:divBdr>
            <w:top w:val="none" w:sz="0" w:space="0" w:color="auto"/>
            <w:left w:val="none" w:sz="0" w:space="0" w:color="auto"/>
            <w:bottom w:val="none" w:sz="0" w:space="0" w:color="auto"/>
            <w:right w:val="none" w:sz="0" w:space="0" w:color="auto"/>
          </w:divBdr>
        </w:div>
      </w:divsChild>
    </w:div>
    <w:div w:id="1027751835">
      <w:bodyDiv w:val="1"/>
      <w:marLeft w:val="0"/>
      <w:marRight w:val="0"/>
      <w:marTop w:val="0"/>
      <w:marBottom w:val="0"/>
      <w:divBdr>
        <w:top w:val="none" w:sz="0" w:space="0" w:color="auto"/>
        <w:left w:val="none" w:sz="0" w:space="0" w:color="auto"/>
        <w:bottom w:val="none" w:sz="0" w:space="0" w:color="auto"/>
        <w:right w:val="none" w:sz="0" w:space="0" w:color="auto"/>
      </w:divBdr>
    </w:div>
    <w:div w:id="1037004546">
      <w:bodyDiv w:val="1"/>
      <w:marLeft w:val="0"/>
      <w:marRight w:val="0"/>
      <w:marTop w:val="0"/>
      <w:marBottom w:val="0"/>
      <w:divBdr>
        <w:top w:val="none" w:sz="0" w:space="0" w:color="auto"/>
        <w:left w:val="none" w:sz="0" w:space="0" w:color="auto"/>
        <w:bottom w:val="none" w:sz="0" w:space="0" w:color="auto"/>
        <w:right w:val="none" w:sz="0" w:space="0" w:color="auto"/>
      </w:divBdr>
    </w:div>
    <w:div w:id="1096291056">
      <w:bodyDiv w:val="1"/>
      <w:marLeft w:val="0"/>
      <w:marRight w:val="0"/>
      <w:marTop w:val="0"/>
      <w:marBottom w:val="0"/>
      <w:divBdr>
        <w:top w:val="none" w:sz="0" w:space="0" w:color="auto"/>
        <w:left w:val="none" w:sz="0" w:space="0" w:color="auto"/>
        <w:bottom w:val="none" w:sz="0" w:space="0" w:color="auto"/>
        <w:right w:val="none" w:sz="0" w:space="0" w:color="auto"/>
      </w:divBdr>
    </w:div>
    <w:div w:id="1178734937">
      <w:bodyDiv w:val="1"/>
      <w:marLeft w:val="0"/>
      <w:marRight w:val="0"/>
      <w:marTop w:val="0"/>
      <w:marBottom w:val="0"/>
      <w:divBdr>
        <w:top w:val="none" w:sz="0" w:space="0" w:color="auto"/>
        <w:left w:val="none" w:sz="0" w:space="0" w:color="auto"/>
        <w:bottom w:val="none" w:sz="0" w:space="0" w:color="auto"/>
        <w:right w:val="none" w:sz="0" w:space="0" w:color="auto"/>
      </w:divBdr>
    </w:div>
    <w:div w:id="1184055732">
      <w:bodyDiv w:val="1"/>
      <w:marLeft w:val="0"/>
      <w:marRight w:val="0"/>
      <w:marTop w:val="0"/>
      <w:marBottom w:val="0"/>
      <w:divBdr>
        <w:top w:val="none" w:sz="0" w:space="0" w:color="auto"/>
        <w:left w:val="none" w:sz="0" w:space="0" w:color="auto"/>
        <w:bottom w:val="none" w:sz="0" w:space="0" w:color="auto"/>
        <w:right w:val="none" w:sz="0" w:space="0" w:color="auto"/>
      </w:divBdr>
    </w:div>
    <w:div w:id="1224487960">
      <w:bodyDiv w:val="1"/>
      <w:marLeft w:val="0"/>
      <w:marRight w:val="0"/>
      <w:marTop w:val="0"/>
      <w:marBottom w:val="0"/>
      <w:divBdr>
        <w:top w:val="none" w:sz="0" w:space="0" w:color="auto"/>
        <w:left w:val="none" w:sz="0" w:space="0" w:color="auto"/>
        <w:bottom w:val="none" w:sz="0" w:space="0" w:color="auto"/>
        <w:right w:val="none" w:sz="0" w:space="0" w:color="auto"/>
      </w:divBdr>
    </w:div>
    <w:div w:id="1326126965">
      <w:bodyDiv w:val="1"/>
      <w:marLeft w:val="0"/>
      <w:marRight w:val="0"/>
      <w:marTop w:val="0"/>
      <w:marBottom w:val="0"/>
      <w:divBdr>
        <w:top w:val="none" w:sz="0" w:space="0" w:color="auto"/>
        <w:left w:val="none" w:sz="0" w:space="0" w:color="auto"/>
        <w:bottom w:val="none" w:sz="0" w:space="0" w:color="auto"/>
        <w:right w:val="none" w:sz="0" w:space="0" w:color="auto"/>
      </w:divBdr>
    </w:div>
    <w:div w:id="1450783261">
      <w:bodyDiv w:val="1"/>
      <w:marLeft w:val="0"/>
      <w:marRight w:val="0"/>
      <w:marTop w:val="0"/>
      <w:marBottom w:val="0"/>
      <w:divBdr>
        <w:top w:val="none" w:sz="0" w:space="0" w:color="auto"/>
        <w:left w:val="none" w:sz="0" w:space="0" w:color="auto"/>
        <w:bottom w:val="none" w:sz="0" w:space="0" w:color="auto"/>
        <w:right w:val="none" w:sz="0" w:space="0" w:color="auto"/>
      </w:divBdr>
    </w:div>
    <w:div w:id="1611274410">
      <w:bodyDiv w:val="1"/>
      <w:marLeft w:val="0"/>
      <w:marRight w:val="0"/>
      <w:marTop w:val="0"/>
      <w:marBottom w:val="0"/>
      <w:divBdr>
        <w:top w:val="none" w:sz="0" w:space="0" w:color="auto"/>
        <w:left w:val="none" w:sz="0" w:space="0" w:color="auto"/>
        <w:bottom w:val="none" w:sz="0" w:space="0" w:color="auto"/>
        <w:right w:val="none" w:sz="0" w:space="0" w:color="auto"/>
      </w:divBdr>
    </w:div>
    <w:div w:id="1635717174">
      <w:bodyDiv w:val="1"/>
      <w:marLeft w:val="0"/>
      <w:marRight w:val="0"/>
      <w:marTop w:val="0"/>
      <w:marBottom w:val="0"/>
      <w:divBdr>
        <w:top w:val="none" w:sz="0" w:space="0" w:color="auto"/>
        <w:left w:val="none" w:sz="0" w:space="0" w:color="auto"/>
        <w:bottom w:val="none" w:sz="0" w:space="0" w:color="auto"/>
        <w:right w:val="none" w:sz="0" w:space="0" w:color="auto"/>
      </w:divBdr>
    </w:div>
    <w:div w:id="1754426925">
      <w:bodyDiv w:val="1"/>
      <w:marLeft w:val="0"/>
      <w:marRight w:val="0"/>
      <w:marTop w:val="0"/>
      <w:marBottom w:val="0"/>
      <w:divBdr>
        <w:top w:val="none" w:sz="0" w:space="0" w:color="auto"/>
        <w:left w:val="none" w:sz="0" w:space="0" w:color="auto"/>
        <w:bottom w:val="none" w:sz="0" w:space="0" w:color="auto"/>
        <w:right w:val="none" w:sz="0" w:space="0" w:color="auto"/>
      </w:divBdr>
    </w:div>
    <w:div w:id="1862011770">
      <w:bodyDiv w:val="1"/>
      <w:marLeft w:val="0"/>
      <w:marRight w:val="0"/>
      <w:marTop w:val="0"/>
      <w:marBottom w:val="0"/>
      <w:divBdr>
        <w:top w:val="none" w:sz="0" w:space="0" w:color="auto"/>
        <w:left w:val="none" w:sz="0" w:space="0" w:color="auto"/>
        <w:bottom w:val="none" w:sz="0" w:space="0" w:color="auto"/>
        <w:right w:val="none" w:sz="0" w:space="0" w:color="auto"/>
      </w:divBdr>
    </w:div>
    <w:div w:id="2128505049">
      <w:bodyDiv w:val="1"/>
      <w:marLeft w:val="0"/>
      <w:marRight w:val="0"/>
      <w:marTop w:val="0"/>
      <w:marBottom w:val="0"/>
      <w:divBdr>
        <w:top w:val="none" w:sz="0" w:space="0" w:color="auto"/>
        <w:left w:val="none" w:sz="0" w:space="0" w:color="auto"/>
        <w:bottom w:val="none" w:sz="0" w:space="0" w:color="auto"/>
        <w:right w:val="none" w:sz="0" w:space="0" w:color="auto"/>
      </w:divBdr>
      <w:divsChild>
        <w:div w:id="1253318354">
          <w:marLeft w:val="1166"/>
          <w:marRight w:val="0"/>
          <w:marTop w:val="67"/>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chart" Target="charts/chart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jpeg"/><Relationship Id="rId5" Type="http://schemas.openxmlformats.org/officeDocument/2006/relationships/image" Target="media/image7.jpeg"/><Relationship Id="rId4" Type="http://schemas.openxmlformats.org/officeDocument/2006/relationships/image" Target="media/image6.jpeg"/></Relationships>
</file>

<file path=word/charts/_rels/chart1.xml.rels><?xml version="1.0" encoding="UTF-8" standalone="yes"?>
<Relationships xmlns="http://schemas.openxmlformats.org/package/2006/relationships"><Relationship Id="rId1" Type="http://schemas.openxmlformats.org/officeDocument/2006/relationships/oleObject" Target="file:///C:\Users\Posmurny\Desktop\Projekt%20ORP\Dotazniky_obce\Z&#225;znamn&#237;k%20pro%20&#345;&#237;zen&#253;%20rozhovor-Benesov.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Posmurny\Desktop\Projekt%20ORP\Dotazniky_obce\Z&#225;znamn&#237;k%20pro%20&#345;&#237;zen&#253;%20rozhovor-Benesov.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Posmurny\Desktop\Projekt%20ORP\Dotazniky_obce\Z&#225;znamn&#237;k%20pro%20&#345;&#237;zen&#253;%20rozhovor-Benesov.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cs-CZ" sz="1200"/>
              <a:t>Preferovaný způsob zajištění dané agendy</a:t>
            </a:r>
          </a:p>
        </c:rich>
      </c:tx>
      <c:overlay val="0"/>
    </c:title>
    <c:autoTitleDeleted val="0"/>
    <c:plotArea>
      <c:layout/>
      <c:barChart>
        <c:barDir val="col"/>
        <c:grouping val="percentStacked"/>
        <c:varyColors val="0"/>
        <c:ser>
          <c:idx val="0"/>
          <c:order val="0"/>
          <c:tx>
            <c:strRef>
              <c:f>SUMÁŔ!$C$11</c:f>
              <c:strCache>
                <c:ptCount val="1"/>
                <c:pt idx="0">
                  <c:v>Voleným zástupcem</c:v>
                </c:pt>
              </c:strCache>
            </c:strRef>
          </c:tx>
          <c:invertIfNegative val="0"/>
          <c:cat>
            <c:strRef>
              <c:f>SUMÁŔ!$B$12:$B$18</c:f>
              <c:strCache>
                <c:ptCount val="7"/>
                <c:pt idx="0">
                  <c:v>1.   Právní podpora</c:v>
                </c:pt>
                <c:pt idx="1">
                  <c:v>2.  Ekonomické agendy</c:v>
                </c:pt>
                <c:pt idx="2">
                  <c:v>3.  Dotační management</c:v>
                </c:pt>
                <c:pt idx="3">
                  <c:v>4.  Veřejné zakázky</c:v>
                </c:pt>
                <c:pt idx="4">
                  <c:v>5.  IT podpora</c:v>
                </c:pt>
                <c:pt idx="5">
                  <c:v>6.  Technická a stavební podpora</c:v>
                </c:pt>
                <c:pt idx="6">
                  <c:v>7.  Rozvoj obce</c:v>
                </c:pt>
              </c:strCache>
            </c:strRef>
          </c:cat>
          <c:val>
            <c:numRef>
              <c:f>SUMÁŔ!$C$12:$C$18</c:f>
              <c:numCache>
                <c:formatCode>General</c:formatCode>
                <c:ptCount val="7"/>
                <c:pt idx="0">
                  <c:v>2</c:v>
                </c:pt>
                <c:pt idx="1">
                  <c:v>1</c:v>
                </c:pt>
                <c:pt idx="2">
                  <c:v>1</c:v>
                </c:pt>
                <c:pt idx="3">
                  <c:v>0</c:v>
                </c:pt>
                <c:pt idx="4">
                  <c:v>0</c:v>
                </c:pt>
                <c:pt idx="5">
                  <c:v>5</c:v>
                </c:pt>
                <c:pt idx="6">
                  <c:v>12</c:v>
                </c:pt>
              </c:numCache>
            </c:numRef>
          </c:val>
        </c:ser>
        <c:ser>
          <c:idx val="1"/>
          <c:order val="1"/>
          <c:tx>
            <c:strRef>
              <c:f>SUMÁŔ!$D$11</c:f>
              <c:strCache>
                <c:ptCount val="1"/>
                <c:pt idx="0">
                  <c:v>Zaměstnancem</c:v>
                </c:pt>
              </c:strCache>
            </c:strRef>
          </c:tx>
          <c:invertIfNegative val="0"/>
          <c:cat>
            <c:strRef>
              <c:f>SUMÁŔ!$B$12:$B$18</c:f>
              <c:strCache>
                <c:ptCount val="7"/>
                <c:pt idx="0">
                  <c:v>1.   Právní podpora</c:v>
                </c:pt>
                <c:pt idx="1">
                  <c:v>2.  Ekonomické agendy</c:v>
                </c:pt>
                <c:pt idx="2">
                  <c:v>3.  Dotační management</c:v>
                </c:pt>
                <c:pt idx="3">
                  <c:v>4.  Veřejné zakázky</c:v>
                </c:pt>
                <c:pt idx="4">
                  <c:v>5.  IT podpora</c:v>
                </c:pt>
                <c:pt idx="5">
                  <c:v>6.  Technická a stavební podpora</c:v>
                </c:pt>
                <c:pt idx="6">
                  <c:v>7.  Rozvoj obce</c:v>
                </c:pt>
              </c:strCache>
            </c:strRef>
          </c:cat>
          <c:val>
            <c:numRef>
              <c:f>SUMÁŔ!$D$12:$D$18</c:f>
              <c:numCache>
                <c:formatCode>General</c:formatCode>
                <c:ptCount val="7"/>
                <c:pt idx="0">
                  <c:v>0</c:v>
                </c:pt>
                <c:pt idx="1">
                  <c:v>12</c:v>
                </c:pt>
                <c:pt idx="2">
                  <c:v>0</c:v>
                </c:pt>
                <c:pt idx="3">
                  <c:v>1</c:v>
                </c:pt>
                <c:pt idx="4">
                  <c:v>0</c:v>
                </c:pt>
                <c:pt idx="5">
                  <c:v>7</c:v>
                </c:pt>
                <c:pt idx="6">
                  <c:v>5</c:v>
                </c:pt>
              </c:numCache>
            </c:numRef>
          </c:val>
        </c:ser>
        <c:ser>
          <c:idx val="2"/>
          <c:order val="2"/>
          <c:tx>
            <c:strRef>
              <c:f>SUMÁŔ!$E$11</c:f>
              <c:strCache>
                <c:ptCount val="1"/>
                <c:pt idx="0">
                  <c:v>DSO</c:v>
                </c:pt>
              </c:strCache>
            </c:strRef>
          </c:tx>
          <c:invertIfNegative val="0"/>
          <c:cat>
            <c:strRef>
              <c:f>SUMÁŔ!$B$12:$B$18</c:f>
              <c:strCache>
                <c:ptCount val="7"/>
                <c:pt idx="0">
                  <c:v>1.   Právní podpora</c:v>
                </c:pt>
                <c:pt idx="1">
                  <c:v>2.  Ekonomické agendy</c:v>
                </c:pt>
                <c:pt idx="2">
                  <c:v>3.  Dotační management</c:v>
                </c:pt>
                <c:pt idx="3">
                  <c:v>4.  Veřejné zakázky</c:v>
                </c:pt>
                <c:pt idx="4">
                  <c:v>5.  IT podpora</c:v>
                </c:pt>
                <c:pt idx="5">
                  <c:v>6.  Technická a stavební podpora</c:v>
                </c:pt>
                <c:pt idx="6">
                  <c:v>7.  Rozvoj obce</c:v>
                </c:pt>
              </c:strCache>
            </c:strRef>
          </c:cat>
          <c:val>
            <c:numRef>
              <c:f>SUMÁŔ!$E$12:$E$18</c:f>
              <c:numCache>
                <c:formatCode>General</c:formatCode>
                <c:ptCount val="7"/>
                <c:pt idx="0">
                  <c:v>15</c:v>
                </c:pt>
                <c:pt idx="1">
                  <c:v>5</c:v>
                </c:pt>
                <c:pt idx="2">
                  <c:v>18</c:v>
                </c:pt>
                <c:pt idx="3">
                  <c:v>17</c:v>
                </c:pt>
                <c:pt idx="4">
                  <c:v>1</c:v>
                </c:pt>
                <c:pt idx="5">
                  <c:v>0</c:v>
                </c:pt>
                <c:pt idx="6">
                  <c:v>8</c:v>
                </c:pt>
              </c:numCache>
            </c:numRef>
          </c:val>
        </c:ser>
        <c:ser>
          <c:idx val="3"/>
          <c:order val="3"/>
          <c:tx>
            <c:strRef>
              <c:f>SUMÁŔ!$F$11</c:f>
              <c:strCache>
                <c:ptCount val="1"/>
                <c:pt idx="0">
                  <c:v>Partnerská dohoda</c:v>
                </c:pt>
              </c:strCache>
            </c:strRef>
          </c:tx>
          <c:invertIfNegative val="0"/>
          <c:cat>
            <c:strRef>
              <c:f>SUMÁŔ!$B$12:$B$18</c:f>
              <c:strCache>
                <c:ptCount val="7"/>
                <c:pt idx="0">
                  <c:v>1.   Právní podpora</c:v>
                </c:pt>
                <c:pt idx="1">
                  <c:v>2.  Ekonomické agendy</c:v>
                </c:pt>
                <c:pt idx="2">
                  <c:v>3.  Dotační management</c:v>
                </c:pt>
                <c:pt idx="3">
                  <c:v>4.  Veřejné zakázky</c:v>
                </c:pt>
                <c:pt idx="4">
                  <c:v>5.  IT podpora</c:v>
                </c:pt>
                <c:pt idx="5">
                  <c:v>6.  Technická a stavební podpora</c:v>
                </c:pt>
                <c:pt idx="6">
                  <c:v>7.  Rozvoj obce</c:v>
                </c:pt>
              </c:strCache>
            </c:strRef>
          </c:cat>
          <c:val>
            <c:numRef>
              <c:f>SUMÁŔ!$F$12:$F$18</c:f>
              <c:numCache>
                <c:formatCode>General</c:formatCode>
                <c:ptCount val="7"/>
                <c:pt idx="0">
                  <c:v>0</c:v>
                </c:pt>
                <c:pt idx="1">
                  <c:v>4</c:v>
                </c:pt>
                <c:pt idx="2">
                  <c:v>4</c:v>
                </c:pt>
                <c:pt idx="3">
                  <c:v>4</c:v>
                </c:pt>
                <c:pt idx="4">
                  <c:v>0</c:v>
                </c:pt>
                <c:pt idx="5">
                  <c:v>0</c:v>
                </c:pt>
                <c:pt idx="6">
                  <c:v>5</c:v>
                </c:pt>
              </c:numCache>
            </c:numRef>
          </c:val>
        </c:ser>
        <c:ser>
          <c:idx val="4"/>
          <c:order val="4"/>
          <c:tx>
            <c:strRef>
              <c:f>SUMÁŔ!$G$11</c:f>
              <c:strCache>
                <c:ptCount val="1"/>
                <c:pt idx="0">
                  <c:v>Právnická osoba </c:v>
                </c:pt>
              </c:strCache>
            </c:strRef>
          </c:tx>
          <c:invertIfNegative val="0"/>
          <c:cat>
            <c:strRef>
              <c:f>SUMÁŔ!$B$12:$B$18</c:f>
              <c:strCache>
                <c:ptCount val="7"/>
                <c:pt idx="0">
                  <c:v>1.   Právní podpora</c:v>
                </c:pt>
                <c:pt idx="1">
                  <c:v>2.  Ekonomické agendy</c:v>
                </c:pt>
                <c:pt idx="2">
                  <c:v>3.  Dotační management</c:v>
                </c:pt>
                <c:pt idx="3">
                  <c:v>4.  Veřejné zakázky</c:v>
                </c:pt>
                <c:pt idx="4">
                  <c:v>5.  IT podpora</c:v>
                </c:pt>
                <c:pt idx="5">
                  <c:v>6.  Technická a stavební podpora</c:v>
                </c:pt>
                <c:pt idx="6">
                  <c:v>7.  Rozvoj obce</c:v>
                </c:pt>
              </c:strCache>
            </c:strRef>
          </c:cat>
          <c:val>
            <c:numRef>
              <c:f>SUMÁŔ!$G$12:$G$18</c:f>
              <c:numCache>
                <c:formatCode>General</c:formatCode>
                <c:ptCount val="7"/>
                <c:pt idx="0">
                  <c:v>0</c:v>
                </c:pt>
                <c:pt idx="1">
                  <c:v>3</c:v>
                </c:pt>
                <c:pt idx="2">
                  <c:v>4</c:v>
                </c:pt>
                <c:pt idx="3">
                  <c:v>5</c:v>
                </c:pt>
                <c:pt idx="4">
                  <c:v>17</c:v>
                </c:pt>
                <c:pt idx="5">
                  <c:v>8</c:v>
                </c:pt>
                <c:pt idx="6">
                  <c:v>1</c:v>
                </c:pt>
              </c:numCache>
            </c:numRef>
          </c:val>
        </c:ser>
        <c:ser>
          <c:idx val="5"/>
          <c:order val="5"/>
          <c:tx>
            <c:strRef>
              <c:f>SUMÁŔ!$H$11</c:f>
              <c:strCache>
                <c:ptCount val="1"/>
                <c:pt idx="0">
                  <c:v>Fyzická osoba</c:v>
                </c:pt>
              </c:strCache>
            </c:strRef>
          </c:tx>
          <c:invertIfNegative val="0"/>
          <c:cat>
            <c:strRef>
              <c:f>SUMÁŔ!$B$12:$B$18</c:f>
              <c:strCache>
                <c:ptCount val="7"/>
                <c:pt idx="0">
                  <c:v>1.   Právní podpora</c:v>
                </c:pt>
                <c:pt idx="1">
                  <c:v>2.  Ekonomické agendy</c:v>
                </c:pt>
                <c:pt idx="2">
                  <c:v>3.  Dotační management</c:v>
                </c:pt>
                <c:pt idx="3">
                  <c:v>4.  Veřejné zakázky</c:v>
                </c:pt>
                <c:pt idx="4">
                  <c:v>5.  IT podpora</c:v>
                </c:pt>
                <c:pt idx="5">
                  <c:v>6.  Technická a stavební podpora</c:v>
                </c:pt>
                <c:pt idx="6">
                  <c:v>7.  Rozvoj obce</c:v>
                </c:pt>
              </c:strCache>
            </c:strRef>
          </c:cat>
          <c:val>
            <c:numRef>
              <c:f>SUMÁŔ!$H$12:$H$18</c:f>
              <c:numCache>
                <c:formatCode>General</c:formatCode>
                <c:ptCount val="7"/>
                <c:pt idx="0">
                  <c:v>1</c:v>
                </c:pt>
                <c:pt idx="1">
                  <c:v>0</c:v>
                </c:pt>
                <c:pt idx="2">
                  <c:v>0</c:v>
                </c:pt>
                <c:pt idx="3">
                  <c:v>1</c:v>
                </c:pt>
                <c:pt idx="4">
                  <c:v>6</c:v>
                </c:pt>
                <c:pt idx="5">
                  <c:v>8</c:v>
                </c:pt>
                <c:pt idx="6">
                  <c:v>0</c:v>
                </c:pt>
              </c:numCache>
            </c:numRef>
          </c:val>
        </c:ser>
        <c:dLbls>
          <c:showLegendKey val="0"/>
          <c:showVal val="0"/>
          <c:showCatName val="0"/>
          <c:showSerName val="0"/>
          <c:showPercent val="0"/>
          <c:showBubbleSize val="0"/>
        </c:dLbls>
        <c:gapWidth val="75"/>
        <c:overlap val="100"/>
        <c:axId val="166982784"/>
        <c:axId val="166984320"/>
      </c:barChart>
      <c:catAx>
        <c:axId val="166982784"/>
        <c:scaling>
          <c:orientation val="minMax"/>
        </c:scaling>
        <c:delete val="0"/>
        <c:axPos val="b"/>
        <c:numFmt formatCode="General" sourceLinked="1"/>
        <c:majorTickMark val="none"/>
        <c:minorTickMark val="none"/>
        <c:tickLblPos val="nextTo"/>
        <c:txPr>
          <a:bodyPr/>
          <a:lstStyle/>
          <a:p>
            <a:pPr>
              <a:defRPr sz="900" b="0"/>
            </a:pPr>
            <a:endParaRPr lang="cs-CZ"/>
          </a:p>
        </c:txPr>
        <c:crossAx val="166984320"/>
        <c:crosses val="autoZero"/>
        <c:auto val="1"/>
        <c:lblAlgn val="ctr"/>
        <c:lblOffset val="100"/>
        <c:noMultiLvlLbl val="0"/>
      </c:catAx>
      <c:valAx>
        <c:axId val="166984320"/>
        <c:scaling>
          <c:orientation val="minMax"/>
        </c:scaling>
        <c:delete val="0"/>
        <c:axPos val="l"/>
        <c:majorGridlines/>
        <c:numFmt formatCode="0%" sourceLinked="1"/>
        <c:majorTickMark val="none"/>
        <c:minorTickMark val="none"/>
        <c:tickLblPos val="nextTo"/>
        <c:spPr>
          <a:ln w="9525">
            <a:noFill/>
          </a:ln>
        </c:spPr>
        <c:txPr>
          <a:bodyPr/>
          <a:lstStyle/>
          <a:p>
            <a:pPr>
              <a:defRPr sz="1000" b="0"/>
            </a:pPr>
            <a:endParaRPr lang="cs-CZ"/>
          </a:p>
        </c:txPr>
        <c:crossAx val="166982784"/>
        <c:crosses val="autoZero"/>
        <c:crossBetween val="between"/>
      </c:valAx>
    </c:plotArea>
    <c:legend>
      <c:legendPos val="b"/>
      <c:overlay val="0"/>
      <c:txPr>
        <a:bodyPr/>
        <a:lstStyle/>
        <a:p>
          <a:pPr>
            <a:defRPr sz="1000" b="0"/>
          </a:pPr>
          <a:endParaRPr lang="cs-CZ"/>
        </a:p>
      </c:txPr>
    </c:legend>
    <c:plotVisOnly val="1"/>
    <c:dispBlanksAs val="gap"/>
    <c:showDLblsOverMax val="0"/>
  </c:chart>
  <c:spPr>
    <a:ln>
      <a:noFill/>
    </a:ln>
  </c:spPr>
  <c:txPr>
    <a:bodyPr/>
    <a:lstStyle/>
    <a:p>
      <a:pPr>
        <a:defRPr sz="1600" b="1"/>
      </a:pPr>
      <a:endParaRPr lang="cs-CZ"/>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cs-CZ" sz="1200"/>
              <a:t>Rozsah poptávané podpory a spolupráce </a:t>
            </a:r>
          </a:p>
        </c:rich>
      </c:tx>
      <c:overlay val="0"/>
    </c:title>
    <c:autoTitleDeleted val="0"/>
    <c:plotArea>
      <c:layout/>
      <c:barChart>
        <c:barDir val="col"/>
        <c:grouping val="percentStacked"/>
        <c:varyColors val="0"/>
        <c:ser>
          <c:idx val="0"/>
          <c:order val="0"/>
          <c:tx>
            <c:strRef>
              <c:f>SUMÁŔ!$I$10</c:f>
              <c:strCache>
                <c:ptCount val="1"/>
                <c:pt idx="0">
                  <c:v>A. Metodická podpora    jednorázová </c:v>
                </c:pt>
              </c:strCache>
            </c:strRef>
          </c:tx>
          <c:invertIfNegative val="0"/>
          <c:cat>
            <c:strRef>
              <c:f>SUMÁŔ!$B$12:$B$18</c:f>
              <c:strCache>
                <c:ptCount val="7"/>
                <c:pt idx="0">
                  <c:v>1.   Právní podpora</c:v>
                </c:pt>
                <c:pt idx="1">
                  <c:v>2.  Ekonomické agendy</c:v>
                </c:pt>
                <c:pt idx="2">
                  <c:v>3.  Dotační management</c:v>
                </c:pt>
                <c:pt idx="3">
                  <c:v>4.  Veřejné zakázky</c:v>
                </c:pt>
                <c:pt idx="4">
                  <c:v>5.  IT podpora</c:v>
                </c:pt>
                <c:pt idx="5">
                  <c:v>6.  Technická a stavební podpora</c:v>
                </c:pt>
                <c:pt idx="6">
                  <c:v>7.  Rozvoj obce</c:v>
                </c:pt>
              </c:strCache>
            </c:strRef>
          </c:cat>
          <c:val>
            <c:numRef>
              <c:f>SUMÁŔ!$I$12:$I$18</c:f>
              <c:numCache>
                <c:formatCode>General</c:formatCode>
                <c:ptCount val="7"/>
                <c:pt idx="0">
                  <c:v>1</c:v>
                </c:pt>
                <c:pt idx="1">
                  <c:v>0</c:v>
                </c:pt>
                <c:pt idx="2">
                  <c:v>1</c:v>
                </c:pt>
                <c:pt idx="3">
                  <c:v>1</c:v>
                </c:pt>
                <c:pt idx="4">
                  <c:v>0</c:v>
                </c:pt>
                <c:pt idx="5">
                  <c:v>0</c:v>
                </c:pt>
                <c:pt idx="6">
                  <c:v>0</c:v>
                </c:pt>
              </c:numCache>
            </c:numRef>
          </c:val>
        </c:ser>
        <c:ser>
          <c:idx val="1"/>
          <c:order val="1"/>
          <c:tx>
            <c:strRef>
              <c:f>SUMÁŔ!$J$10</c:f>
              <c:strCache>
                <c:ptCount val="1"/>
                <c:pt idx="0">
                  <c:v>B. Metodická podpora          soustavná</c:v>
                </c:pt>
              </c:strCache>
            </c:strRef>
          </c:tx>
          <c:invertIfNegative val="0"/>
          <c:cat>
            <c:strRef>
              <c:f>SUMÁŔ!$B$12:$B$18</c:f>
              <c:strCache>
                <c:ptCount val="7"/>
                <c:pt idx="0">
                  <c:v>1.   Právní podpora</c:v>
                </c:pt>
                <c:pt idx="1">
                  <c:v>2.  Ekonomické agendy</c:v>
                </c:pt>
                <c:pt idx="2">
                  <c:v>3.  Dotační management</c:v>
                </c:pt>
                <c:pt idx="3">
                  <c:v>4.  Veřejné zakázky</c:v>
                </c:pt>
                <c:pt idx="4">
                  <c:v>5.  IT podpora</c:v>
                </c:pt>
                <c:pt idx="5">
                  <c:v>6.  Technická a stavební podpora</c:v>
                </c:pt>
                <c:pt idx="6">
                  <c:v>7.  Rozvoj obce</c:v>
                </c:pt>
              </c:strCache>
            </c:strRef>
          </c:cat>
          <c:val>
            <c:numRef>
              <c:f>SUMÁŔ!$J$12:$J$18</c:f>
              <c:numCache>
                <c:formatCode>General</c:formatCode>
                <c:ptCount val="7"/>
                <c:pt idx="0">
                  <c:v>3</c:v>
                </c:pt>
                <c:pt idx="1">
                  <c:v>7</c:v>
                </c:pt>
                <c:pt idx="2">
                  <c:v>7</c:v>
                </c:pt>
                <c:pt idx="3">
                  <c:v>5</c:v>
                </c:pt>
                <c:pt idx="4">
                  <c:v>1</c:v>
                </c:pt>
                <c:pt idx="5">
                  <c:v>0</c:v>
                </c:pt>
                <c:pt idx="6">
                  <c:v>0</c:v>
                </c:pt>
              </c:numCache>
            </c:numRef>
          </c:val>
        </c:ser>
        <c:ser>
          <c:idx val="2"/>
          <c:order val="2"/>
          <c:tx>
            <c:strRef>
              <c:f>SUMÁŔ!$K$10</c:f>
              <c:strCache>
                <c:ptCount val="1"/>
                <c:pt idx="0">
                  <c:v>C. Průběžná konzultace</c:v>
                </c:pt>
              </c:strCache>
            </c:strRef>
          </c:tx>
          <c:invertIfNegative val="0"/>
          <c:cat>
            <c:strRef>
              <c:f>SUMÁŔ!$B$12:$B$18</c:f>
              <c:strCache>
                <c:ptCount val="7"/>
                <c:pt idx="0">
                  <c:v>1.   Právní podpora</c:v>
                </c:pt>
                <c:pt idx="1">
                  <c:v>2.  Ekonomické agendy</c:v>
                </c:pt>
                <c:pt idx="2">
                  <c:v>3.  Dotační management</c:v>
                </c:pt>
                <c:pt idx="3">
                  <c:v>4.  Veřejné zakázky</c:v>
                </c:pt>
                <c:pt idx="4">
                  <c:v>5.  IT podpora</c:v>
                </c:pt>
                <c:pt idx="5">
                  <c:v>6.  Technická a stavební podpora</c:v>
                </c:pt>
                <c:pt idx="6">
                  <c:v>7.  Rozvoj obce</c:v>
                </c:pt>
              </c:strCache>
            </c:strRef>
          </c:cat>
          <c:val>
            <c:numRef>
              <c:f>SUMÁŔ!$K$12:$K$18</c:f>
              <c:numCache>
                <c:formatCode>General</c:formatCode>
                <c:ptCount val="7"/>
                <c:pt idx="0">
                  <c:v>8</c:v>
                </c:pt>
                <c:pt idx="1">
                  <c:v>1</c:v>
                </c:pt>
                <c:pt idx="2">
                  <c:v>0</c:v>
                </c:pt>
                <c:pt idx="3">
                  <c:v>3</c:v>
                </c:pt>
                <c:pt idx="4">
                  <c:v>1</c:v>
                </c:pt>
                <c:pt idx="5">
                  <c:v>8</c:v>
                </c:pt>
                <c:pt idx="6">
                  <c:v>3</c:v>
                </c:pt>
              </c:numCache>
            </c:numRef>
          </c:val>
        </c:ser>
        <c:ser>
          <c:idx val="3"/>
          <c:order val="3"/>
          <c:tx>
            <c:strRef>
              <c:f>SUMÁŔ!$L$10</c:f>
              <c:strCache>
                <c:ptCount val="1"/>
                <c:pt idx="0">
                  <c:v>D. Vyžadují kompletní zajištění služby</c:v>
                </c:pt>
              </c:strCache>
            </c:strRef>
          </c:tx>
          <c:invertIfNegative val="0"/>
          <c:cat>
            <c:strRef>
              <c:f>SUMÁŔ!$B$12:$B$18</c:f>
              <c:strCache>
                <c:ptCount val="7"/>
                <c:pt idx="0">
                  <c:v>1.   Právní podpora</c:v>
                </c:pt>
                <c:pt idx="1">
                  <c:v>2.  Ekonomické agendy</c:v>
                </c:pt>
                <c:pt idx="2">
                  <c:v>3.  Dotační management</c:v>
                </c:pt>
                <c:pt idx="3">
                  <c:v>4.  Veřejné zakázky</c:v>
                </c:pt>
                <c:pt idx="4">
                  <c:v>5.  IT podpora</c:v>
                </c:pt>
                <c:pt idx="5">
                  <c:v>6.  Technická a stavební podpora</c:v>
                </c:pt>
                <c:pt idx="6">
                  <c:v>7.  Rozvoj obce</c:v>
                </c:pt>
              </c:strCache>
            </c:strRef>
          </c:cat>
          <c:val>
            <c:numRef>
              <c:f>SUMÁŔ!$L$12:$L$18</c:f>
              <c:numCache>
                <c:formatCode>General</c:formatCode>
                <c:ptCount val="7"/>
                <c:pt idx="0">
                  <c:v>10</c:v>
                </c:pt>
                <c:pt idx="1">
                  <c:v>15</c:v>
                </c:pt>
                <c:pt idx="2">
                  <c:v>11</c:v>
                </c:pt>
                <c:pt idx="3">
                  <c:v>15</c:v>
                </c:pt>
                <c:pt idx="4">
                  <c:v>12</c:v>
                </c:pt>
                <c:pt idx="5">
                  <c:v>11</c:v>
                </c:pt>
                <c:pt idx="6">
                  <c:v>15</c:v>
                </c:pt>
              </c:numCache>
            </c:numRef>
          </c:val>
        </c:ser>
        <c:dLbls>
          <c:showLegendKey val="0"/>
          <c:showVal val="0"/>
          <c:showCatName val="0"/>
          <c:showSerName val="0"/>
          <c:showPercent val="0"/>
          <c:showBubbleSize val="0"/>
        </c:dLbls>
        <c:gapWidth val="75"/>
        <c:overlap val="100"/>
        <c:axId val="167007360"/>
        <c:axId val="167008896"/>
      </c:barChart>
      <c:catAx>
        <c:axId val="167007360"/>
        <c:scaling>
          <c:orientation val="minMax"/>
        </c:scaling>
        <c:delete val="0"/>
        <c:axPos val="b"/>
        <c:numFmt formatCode="General" sourceLinked="1"/>
        <c:majorTickMark val="none"/>
        <c:minorTickMark val="none"/>
        <c:tickLblPos val="nextTo"/>
        <c:txPr>
          <a:bodyPr/>
          <a:lstStyle/>
          <a:p>
            <a:pPr>
              <a:defRPr sz="900" b="0"/>
            </a:pPr>
            <a:endParaRPr lang="cs-CZ"/>
          </a:p>
        </c:txPr>
        <c:crossAx val="167008896"/>
        <c:crosses val="autoZero"/>
        <c:auto val="1"/>
        <c:lblAlgn val="ctr"/>
        <c:lblOffset val="100"/>
        <c:noMultiLvlLbl val="0"/>
      </c:catAx>
      <c:valAx>
        <c:axId val="167008896"/>
        <c:scaling>
          <c:orientation val="minMax"/>
        </c:scaling>
        <c:delete val="0"/>
        <c:axPos val="l"/>
        <c:majorGridlines/>
        <c:numFmt formatCode="0%" sourceLinked="1"/>
        <c:majorTickMark val="none"/>
        <c:minorTickMark val="none"/>
        <c:tickLblPos val="nextTo"/>
        <c:spPr>
          <a:ln w="9525">
            <a:noFill/>
          </a:ln>
        </c:spPr>
        <c:txPr>
          <a:bodyPr/>
          <a:lstStyle/>
          <a:p>
            <a:pPr>
              <a:defRPr sz="1000" b="0"/>
            </a:pPr>
            <a:endParaRPr lang="cs-CZ"/>
          </a:p>
        </c:txPr>
        <c:crossAx val="167007360"/>
        <c:crosses val="autoZero"/>
        <c:crossBetween val="between"/>
      </c:valAx>
    </c:plotArea>
    <c:legend>
      <c:legendPos val="b"/>
      <c:overlay val="0"/>
      <c:txPr>
        <a:bodyPr/>
        <a:lstStyle/>
        <a:p>
          <a:pPr>
            <a:defRPr sz="1000" b="0"/>
          </a:pPr>
          <a:endParaRPr lang="cs-CZ"/>
        </a:p>
      </c:txPr>
    </c:legend>
    <c:plotVisOnly val="1"/>
    <c:dispBlanksAs val="gap"/>
    <c:showDLblsOverMax val="0"/>
  </c:chart>
  <c:spPr>
    <a:ln>
      <a:noFill/>
    </a:ln>
  </c:spPr>
  <c:txPr>
    <a:bodyPr/>
    <a:lstStyle/>
    <a:p>
      <a:pPr>
        <a:defRPr sz="1800" b="1"/>
      </a:pPr>
      <a:endParaRPr lang="cs-CZ"/>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cs-CZ" sz="1200"/>
              <a:t>Způsob financování aktivit</a:t>
            </a:r>
            <a:r>
              <a:rPr lang="cs-CZ" sz="1200" baseline="0"/>
              <a:t> DSO</a:t>
            </a:r>
            <a:r>
              <a:rPr lang="cs-CZ" sz="1200"/>
              <a:t> </a:t>
            </a:r>
          </a:p>
        </c:rich>
      </c:tx>
      <c:overlay val="0"/>
    </c:title>
    <c:autoTitleDeleted val="0"/>
    <c:plotArea>
      <c:layout/>
      <c:barChart>
        <c:barDir val="col"/>
        <c:grouping val="percentStacked"/>
        <c:varyColors val="0"/>
        <c:ser>
          <c:idx val="0"/>
          <c:order val="0"/>
          <c:tx>
            <c:strRef>
              <c:f>SUMÁŔ!$M$11</c:f>
              <c:strCache>
                <c:ptCount val="1"/>
                <c:pt idx="0">
                  <c:v>Plná úhrada z vlastních zdrojů obce</c:v>
                </c:pt>
              </c:strCache>
            </c:strRef>
          </c:tx>
          <c:invertIfNegative val="0"/>
          <c:cat>
            <c:strRef>
              <c:f>SUMÁŔ!$B$12:$B$18</c:f>
              <c:strCache>
                <c:ptCount val="7"/>
                <c:pt idx="0">
                  <c:v>1.   Právní podpora</c:v>
                </c:pt>
                <c:pt idx="1">
                  <c:v>2.  Ekonomické agendy</c:v>
                </c:pt>
                <c:pt idx="2">
                  <c:v>3.  Dotační management</c:v>
                </c:pt>
                <c:pt idx="3">
                  <c:v>4.  Veřejné zakázky</c:v>
                </c:pt>
                <c:pt idx="4">
                  <c:v>5.  IT podpora</c:v>
                </c:pt>
                <c:pt idx="5">
                  <c:v>6.  Technická a stavební podpora</c:v>
                </c:pt>
                <c:pt idx="6">
                  <c:v>7.  Rozvoj obce</c:v>
                </c:pt>
              </c:strCache>
            </c:strRef>
          </c:cat>
          <c:val>
            <c:numRef>
              <c:f>SUMÁŔ!$M$12:$S$12</c:f>
              <c:numCache>
                <c:formatCode>General</c:formatCode>
                <c:ptCount val="7"/>
                <c:pt idx="0">
                  <c:v>3</c:v>
                </c:pt>
                <c:pt idx="1">
                  <c:v>2</c:v>
                </c:pt>
                <c:pt idx="2">
                  <c:v>15</c:v>
                </c:pt>
                <c:pt idx="3">
                  <c:v>0</c:v>
                </c:pt>
                <c:pt idx="4">
                  <c:v>10</c:v>
                </c:pt>
                <c:pt idx="5">
                  <c:v>5</c:v>
                </c:pt>
                <c:pt idx="6">
                  <c:v>1</c:v>
                </c:pt>
              </c:numCache>
            </c:numRef>
          </c:val>
        </c:ser>
        <c:ser>
          <c:idx val="1"/>
          <c:order val="1"/>
          <c:tx>
            <c:strRef>
              <c:f>SUMÁŔ!$N$11</c:f>
              <c:strCache>
                <c:ptCount val="1"/>
                <c:pt idx="0">
                  <c:v>Prostřednictvím paušálního poplatku DSO (zajišťující obce)</c:v>
                </c:pt>
              </c:strCache>
            </c:strRef>
          </c:tx>
          <c:invertIfNegative val="0"/>
          <c:cat>
            <c:strRef>
              <c:f>SUMÁŔ!$B$12:$B$18</c:f>
              <c:strCache>
                <c:ptCount val="7"/>
                <c:pt idx="0">
                  <c:v>1.   Právní podpora</c:v>
                </c:pt>
                <c:pt idx="1">
                  <c:v>2.  Ekonomické agendy</c:v>
                </c:pt>
                <c:pt idx="2">
                  <c:v>3.  Dotační management</c:v>
                </c:pt>
                <c:pt idx="3">
                  <c:v>4.  Veřejné zakázky</c:v>
                </c:pt>
                <c:pt idx="4">
                  <c:v>5.  IT podpora</c:v>
                </c:pt>
                <c:pt idx="5">
                  <c:v>6.  Technická a stavební podpora</c:v>
                </c:pt>
                <c:pt idx="6">
                  <c:v>7.  Rozvoj obce</c:v>
                </c:pt>
              </c:strCache>
            </c:strRef>
          </c:cat>
          <c:val>
            <c:numRef>
              <c:f>SUMÁŔ!$M$13:$S$13</c:f>
              <c:numCache>
                <c:formatCode>General</c:formatCode>
                <c:ptCount val="7"/>
                <c:pt idx="0">
                  <c:v>11</c:v>
                </c:pt>
                <c:pt idx="1">
                  <c:v>4</c:v>
                </c:pt>
                <c:pt idx="2">
                  <c:v>0</c:v>
                </c:pt>
                <c:pt idx="3">
                  <c:v>1</c:v>
                </c:pt>
                <c:pt idx="4">
                  <c:v>0</c:v>
                </c:pt>
                <c:pt idx="5">
                  <c:v>5</c:v>
                </c:pt>
                <c:pt idx="6">
                  <c:v>5</c:v>
                </c:pt>
              </c:numCache>
            </c:numRef>
          </c:val>
        </c:ser>
        <c:ser>
          <c:idx val="2"/>
          <c:order val="2"/>
          <c:tx>
            <c:strRef>
              <c:f>SUMÁŔ!$O$11</c:f>
              <c:strCache>
                <c:ptCount val="1"/>
                <c:pt idx="0">
                  <c:v>Platba za každý provedený úkon (dle kalkulace DSO, zajišťující obce)</c:v>
                </c:pt>
              </c:strCache>
            </c:strRef>
          </c:tx>
          <c:invertIfNegative val="0"/>
          <c:cat>
            <c:strRef>
              <c:f>SUMÁŔ!$B$12:$B$18</c:f>
              <c:strCache>
                <c:ptCount val="7"/>
                <c:pt idx="0">
                  <c:v>1.   Právní podpora</c:v>
                </c:pt>
                <c:pt idx="1">
                  <c:v>2.  Ekonomické agendy</c:v>
                </c:pt>
                <c:pt idx="2">
                  <c:v>3.  Dotační management</c:v>
                </c:pt>
                <c:pt idx="3">
                  <c:v>4.  Veřejné zakázky</c:v>
                </c:pt>
                <c:pt idx="4">
                  <c:v>5.  IT podpora</c:v>
                </c:pt>
                <c:pt idx="5">
                  <c:v>6.  Technická a stavební podpora</c:v>
                </c:pt>
                <c:pt idx="6">
                  <c:v>7.  Rozvoj obce</c:v>
                </c:pt>
              </c:strCache>
            </c:strRef>
          </c:cat>
          <c:val>
            <c:numRef>
              <c:f>SUMÁŔ!$M$14:$S$14</c:f>
              <c:numCache>
                <c:formatCode>General</c:formatCode>
                <c:ptCount val="7"/>
                <c:pt idx="0">
                  <c:v>1</c:v>
                </c:pt>
                <c:pt idx="1">
                  <c:v>14</c:v>
                </c:pt>
                <c:pt idx="2">
                  <c:v>1</c:v>
                </c:pt>
                <c:pt idx="3">
                  <c:v>5</c:v>
                </c:pt>
                <c:pt idx="4">
                  <c:v>0</c:v>
                </c:pt>
                <c:pt idx="5">
                  <c:v>10</c:v>
                </c:pt>
                <c:pt idx="6">
                  <c:v>6</c:v>
                </c:pt>
              </c:numCache>
            </c:numRef>
          </c:val>
        </c:ser>
        <c:ser>
          <c:idx val="3"/>
          <c:order val="3"/>
          <c:tx>
            <c:strRef>
              <c:f>SUMÁŔ!$P$11</c:f>
              <c:strCache>
                <c:ptCount val="1"/>
                <c:pt idx="0">
                  <c:v>Příspěvek z RUD určený pro DSO zajišťující službu + aktivační poplatek obce</c:v>
                </c:pt>
              </c:strCache>
            </c:strRef>
          </c:tx>
          <c:invertIfNegative val="0"/>
          <c:cat>
            <c:strRef>
              <c:f>SUMÁŔ!$B$12:$B$18</c:f>
              <c:strCache>
                <c:ptCount val="7"/>
                <c:pt idx="0">
                  <c:v>1.   Právní podpora</c:v>
                </c:pt>
                <c:pt idx="1">
                  <c:v>2.  Ekonomické agendy</c:v>
                </c:pt>
                <c:pt idx="2">
                  <c:v>3.  Dotační management</c:v>
                </c:pt>
                <c:pt idx="3">
                  <c:v>4.  Veřejné zakázky</c:v>
                </c:pt>
                <c:pt idx="4">
                  <c:v>5.  IT podpora</c:v>
                </c:pt>
                <c:pt idx="5">
                  <c:v>6.  Technická a stavební podpora</c:v>
                </c:pt>
                <c:pt idx="6">
                  <c:v>7.  Rozvoj obce</c:v>
                </c:pt>
              </c:strCache>
            </c:strRef>
          </c:cat>
          <c:val>
            <c:numRef>
              <c:f>SUMÁŔ!$M$15:$S$15</c:f>
              <c:numCache>
                <c:formatCode>General</c:formatCode>
                <c:ptCount val="7"/>
                <c:pt idx="0">
                  <c:v>4</c:v>
                </c:pt>
                <c:pt idx="1">
                  <c:v>11</c:v>
                </c:pt>
                <c:pt idx="2">
                  <c:v>7</c:v>
                </c:pt>
                <c:pt idx="3">
                  <c:v>12</c:v>
                </c:pt>
                <c:pt idx="4">
                  <c:v>0</c:v>
                </c:pt>
                <c:pt idx="5">
                  <c:v>3</c:v>
                </c:pt>
                <c:pt idx="6">
                  <c:v>5</c:v>
                </c:pt>
              </c:numCache>
            </c:numRef>
          </c:val>
        </c:ser>
        <c:ser>
          <c:idx val="4"/>
          <c:order val="4"/>
          <c:tx>
            <c:strRef>
              <c:f>SUMÁŔ!$Q$11</c:f>
              <c:strCache>
                <c:ptCount val="1"/>
                <c:pt idx="0">
                  <c:v>Plné financování podílem z RUD určené pro DSO zajišťující službu </c:v>
                </c:pt>
              </c:strCache>
            </c:strRef>
          </c:tx>
          <c:invertIfNegative val="0"/>
          <c:cat>
            <c:strRef>
              <c:f>SUMÁŔ!$B$12:$B$18</c:f>
              <c:strCache>
                <c:ptCount val="7"/>
                <c:pt idx="0">
                  <c:v>1.   Právní podpora</c:v>
                </c:pt>
                <c:pt idx="1">
                  <c:v>2.  Ekonomické agendy</c:v>
                </c:pt>
                <c:pt idx="2">
                  <c:v>3.  Dotační management</c:v>
                </c:pt>
                <c:pt idx="3">
                  <c:v>4.  Veřejné zakázky</c:v>
                </c:pt>
                <c:pt idx="4">
                  <c:v>5.  IT podpora</c:v>
                </c:pt>
                <c:pt idx="5">
                  <c:v>6.  Technická a stavební podpora</c:v>
                </c:pt>
                <c:pt idx="6">
                  <c:v>7.  Rozvoj obce</c:v>
                </c:pt>
              </c:strCache>
            </c:strRef>
          </c:cat>
          <c:val>
            <c:numRef>
              <c:f>SUMÁŔ!$M$16:$S$16</c:f>
              <c:numCache>
                <c:formatCode>General</c:formatCode>
                <c:ptCount val="7"/>
                <c:pt idx="0">
                  <c:v>11</c:v>
                </c:pt>
                <c:pt idx="1">
                  <c:v>1</c:v>
                </c:pt>
                <c:pt idx="2">
                  <c:v>3</c:v>
                </c:pt>
                <c:pt idx="3">
                  <c:v>11</c:v>
                </c:pt>
                <c:pt idx="4">
                  <c:v>0</c:v>
                </c:pt>
                <c:pt idx="5">
                  <c:v>4</c:v>
                </c:pt>
                <c:pt idx="6">
                  <c:v>1</c:v>
                </c:pt>
              </c:numCache>
            </c:numRef>
          </c:val>
        </c:ser>
        <c:ser>
          <c:idx val="5"/>
          <c:order val="5"/>
          <c:tx>
            <c:strRef>
              <c:f>SUMÁŔ!$R$11</c:f>
              <c:strCache>
                <c:ptCount val="1"/>
                <c:pt idx="0">
                  <c:v>Zpětná úhrada DSO zajišťující službu ze strany státu</c:v>
                </c:pt>
              </c:strCache>
            </c:strRef>
          </c:tx>
          <c:invertIfNegative val="0"/>
          <c:cat>
            <c:strRef>
              <c:f>SUMÁŔ!$B$12:$B$18</c:f>
              <c:strCache>
                <c:ptCount val="7"/>
                <c:pt idx="0">
                  <c:v>1.   Právní podpora</c:v>
                </c:pt>
                <c:pt idx="1">
                  <c:v>2.  Ekonomické agendy</c:v>
                </c:pt>
                <c:pt idx="2">
                  <c:v>3.  Dotační management</c:v>
                </c:pt>
                <c:pt idx="3">
                  <c:v>4.  Veřejné zakázky</c:v>
                </c:pt>
                <c:pt idx="4">
                  <c:v>5.  IT podpora</c:v>
                </c:pt>
                <c:pt idx="5">
                  <c:v>6.  Technická a stavební podpora</c:v>
                </c:pt>
                <c:pt idx="6">
                  <c:v>7.  Rozvoj obce</c:v>
                </c:pt>
              </c:strCache>
            </c:strRef>
          </c:cat>
          <c:val>
            <c:numRef>
              <c:f>SUMÁŔ!$M$17:$S$17</c:f>
              <c:numCache>
                <c:formatCode>General</c:formatCode>
                <c:ptCount val="7"/>
                <c:pt idx="0">
                  <c:v>16</c:v>
                </c:pt>
                <c:pt idx="1">
                  <c:v>1</c:v>
                </c:pt>
                <c:pt idx="2">
                  <c:v>1</c:v>
                </c:pt>
                <c:pt idx="3">
                  <c:v>10</c:v>
                </c:pt>
                <c:pt idx="4">
                  <c:v>0</c:v>
                </c:pt>
                <c:pt idx="5">
                  <c:v>0</c:v>
                </c:pt>
                <c:pt idx="6">
                  <c:v>1</c:v>
                </c:pt>
              </c:numCache>
            </c:numRef>
          </c:val>
        </c:ser>
        <c:ser>
          <c:idx val="6"/>
          <c:order val="6"/>
          <c:tx>
            <c:strRef>
              <c:f>SUMÁŔ!$S$11</c:f>
              <c:strCache>
                <c:ptCount val="1"/>
                <c:pt idx="0">
                  <c:v>Vytvoření dotačního titulu pro financování DSO zajišťující službu</c:v>
                </c:pt>
              </c:strCache>
            </c:strRef>
          </c:tx>
          <c:invertIfNegative val="0"/>
          <c:cat>
            <c:strRef>
              <c:f>SUMÁŔ!$B$12:$B$18</c:f>
              <c:strCache>
                <c:ptCount val="7"/>
                <c:pt idx="0">
                  <c:v>1.   Právní podpora</c:v>
                </c:pt>
                <c:pt idx="1">
                  <c:v>2.  Ekonomické agendy</c:v>
                </c:pt>
                <c:pt idx="2">
                  <c:v>3.  Dotační management</c:v>
                </c:pt>
                <c:pt idx="3">
                  <c:v>4.  Veřejné zakázky</c:v>
                </c:pt>
                <c:pt idx="4">
                  <c:v>5.  IT podpora</c:v>
                </c:pt>
                <c:pt idx="5">
                  <c:v>6.  Technická a stavební podpora</c:v>
                </c:pt>
                <c:pt idx="6">
                  <c:v>7.  Rozvoj obce</c:v>
                </c:pt>
              </c:strCache>
            </c:strRef>
          </c:cat>
          <c:val>
            <c:numRef>
              <c:f>SUMÁŔ!$M$18:$S$18</c:f>
              <c:numCache>
                <c:formatCode>General</c:formatCode>
                <c:ptCount val="7"/>
                <c:pt idx="0">
                  <c:v>10</c:v>
                </c:pt>
                <c:pt idx="1">
                  <c:v>1</c:v>
                </c:pt>
                <c:pt idx="2">
                  <c:v>7</c:v>
                </c:pt>
                <c:pt idx="3">
                  <c:v>14</c:v>
                </c:pt>
                <c:pt idx="4">
                  <c:v>3</c:v>
                </c:pt>
                <c:pt idx="5">
                  <c:v>0</c:v>
                </c:pt>
                <c:pt idx="6">
                  <c:v>2</c:v>
                </c:pt>
              </c:numCache>
            </c:numRef>
          </c:val>
        </c:ser>
        <c:dLbls>
          <c:showLegendKey val="0"/>
          <c:showVal val="0"/>
          <c:showCatName val="0"/>
          <c:showSerName val="0"/>
          <c:showPercent val="0"/>
          <c:showBubbleSize val="0"/>
        </c:dLbls>
        <c:gapWidth val="75"/>
        <c:overlap val="100"/>
        <c:axId val="167021952"/>
        <c:axId val="167023744"/>
      </c:barChart>
      <c:catAx>
        <c:axId val="167021952"/>
        <c:scaling>
          <c:orientation val="minMax"/>
        </c:scaling>
        <c:delete val="0"/>
        <c:axPos val="b"/>
        <c:numFmt formatCode="General" sourceLinked="1"/>
        <c:majorTickMark val="none"/>
        <c:minorTickMark val="none"/>
        <c:tickLblPos val="nextTo"/>
        <c:txPr>
          <a:bodyPr/>
          <a:lstStyle/>
          <a:p>
            <a:pPr>
              <a:defRPr sz="900" b="0"/>
            </a:pPr>
            <a:endParaRPr lang="cs-CZ"/>
          </a:p>
        </c:txPr>
        <c:crossAx val="167023744"/>
        <c:crosses val="autoZero"/>
        <c:auto val="1"/>
        <c:lblAlgn val="ctr"/>
        <c:lblOffset val="100"/>
        <c:noMultiLvlLbl val="0"/>
      </c:catAx>
      <c:valAx>
        <c:axId val="167023744"/>
        <c:scaling>
          <c:orientation val="minMax"/>
        </c:scaling>
        <c:delete val="0"/>
        <c:axPos val="l"/>
        <c:majorGridlines/>
        <c:numFmt formatCode="0%" sourceLinked="1"/>
        <c:majorTickMark val="none"/>
        <c:minorTickMark val="none"/>
        <c:tickLblPos val="nextTo"/>
        <c:spPr>
          <a:ln w="9525">
            <a:noFill/>
          </a:ln>
        </c:spPr>
        <c:txPr>
          <a:bodyPr/>
          <a:lstStyle/>
          <a:p>
            <a:pPr>
              <a:defRPr sz="1000" b="0"/>
            </a:pPr>
            <a:endParaRPr lang="cs-CZ"/>
          </a:p>
        </c:txPr>
        <c:crossAx val="167021952"/>
        <c:crosses val="autoZero"/>
        <c:crossBetween val="between"/>
      </c:valAx>
    </c:plotArea>
    <c:legend>
      <c:legendPos val="b"/>
      <c:overlay val="0"/>
      <c:txPr>
        <a:bodyPr/>
        <a:lstStyle/>
        <a:p>
          <a:pPr>
            <a:defRPr sz="1000" b="0"/>
          </a:pPr>
          <a:endParaRPr lang="cs-CZ"/>
        </a:p>
      </c:txPr>
    </c:legend>
    <c:plotVisOnly val="1"/>
    <c:dispBlanksAs val="gap"/>
    <c:showDLblsOverMax val="0"/>
  </c:chart>
  <c:spPr>
    <a:ln>
      <a:noFill/>
    </a:ln>
  </c:spPr>
  <c:txPr>
    <a:bodyPr/>
    <a:lstStyle/>
    <a:p>
      <a:pPr>
        <a:defRPr sz="1600" b="1"/>
      </a:pPr>
      <a:endParaRPr lang="cs-CZ"/>
    </a:p>
  </c:txPr>
  <c:externalData r:id="rId1">
    <c:autoUpdate val="0"/>
  </c:externalData>
</c:chartSpace>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96A04F-546F-4EF4-A381-FCB45B963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16</Pages>
  <Words>4699</Words>
  <Characters>27725</Characters>
  <Application>Microsoft Office Word</Application>
  <DocSecurity>0</DocSecurity>
  <Lines>231</Lines>
  <Paragraphs>64</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32360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Vetýška Marek</dc:creator>
  <cp:lastModifiedBy>Václav Pošmurný</cp:lastModifiedBy>
  <cp:revision>19</cp:revision>
  <cp:lastPrinted>2014-03-24T08:27:00Z</cp:lastPrinted>
  <dcterms:created xsi:type="dcterms:W3CDTF">2015-04-13T21:25:00Z</dcterms:created>
  <dcterms:modified xsi:type="dcterms:W3CDTF">2015-04-13T22:22:00Z</dcterms:modified>
</cp:coreProperties>
</file>